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ind w:left="3"/>
              <w:jc w:val="both"/>
              <w:rPr>
                <w:rFonts w:ascii="黑体" w:hAnsi="黑体" w:eastAsia="黑体"/>
                <w:sz w:val="21"/>
                <w:szCs w:val="21"/>
              </w:rPr>
            </w:pPr>
            <w:bookmarkStart w:id="95" w:name="_GoBack"/>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01.040.03</w:t>
            </w:r>
            <w:r>
              <w:rPr>
                <w:rFonts w:ascii="黑体" w:hAnsi="黑体" w:eastAsia="黑体"/>
                <w:sz w:val="21"/>
                <w:szCs w:val="21"/>
              </w:rPr>
              <w:fldChar w:fldCharType="end"/>
            </w:r>
            <w:bookmarkEnd w:id="0"/>
            <w:bookmarkEnd w:id="9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A12</w:t>
            </w:r>
            <w:r>
              <w:rPr>
                <w:rFonts w:ascii="黑体" w:hAnsi="黑体" w:eastAsia="黑体"/>
                <w:sz w:val="21"/>
                <w:szCs w:val="21"/>
              </w:rPr>
              <w:fldChar w:fldCharType="end"/>
            </w:r>
            <w:bookmarkEnd w:id="1"/>
          </w:p>
        </w:tc>
      </w:tr>
    </w:tbl>
    <w:tbl>
      <w:tblPr>
        <w:tblStyle w:val="28"/>
        <w:tblpPr w:leftFromText="181" w:rightFromText="181" w:horzAnchor="margin" w:tblpX="3857" w:tblpY="56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9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8" w:hRule="atLeast"/>
        </w:trPr>
        <w:tc>
          <w:tcPr>
            <w:tcW w:w="4990" w:type="dxa"/>
          </w:tcPr>
          <w:p>
            <w:pPr>
              <w:pStyle w:val="50"/>
              <w:framePr w:w="0" w:hRule="auto" w:wrap="auto" w:vAnchor="margin" w:hAnchor="text" w:xAlign="left" w:yAlign="inline"/>
              <w:ind w:firstLine="420"/>
            </w:pPr>
            <w:bookmarkStart w:id="2" w:name="_Hlk26473981"/>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SB</w:t>
            </w:r>
            <w:r>
              <w:fldChar w:fldCharType="end"/>
            </w:r>
            <w:bookmarkEnd w:id="3"/>
          </w:p>
        </w:tc>
      </w:tr>
    </w:tbl>
    <w:p>
      <w:pPr>
        <w:pStyle w:val="51"/>
        <w:framePr w:w="9639" w:h="624" w:hRule="exact" w:hSpace="181" w:vSpace="181" w:wrap="around" w:hAnchor="page" w:x="1305" w:y="2269"/>
        <w:rPr>
          <w:rFonts w:ascii="黑体" w:hAnsi="黑体" w:eastAsia="黑体"/>
          <w:b w:val="0"/>
          <w:bCs w:val="0"/>
          <w:w w:val="100"/>
          <w:sz w:val="48"/>
          <w:szCs w:val="48"/>
        </w:rPr>
      </w:pPr>
      <w:r>
        <w:rPr>
          <w:rFonts w:hint="eastAsia" w:ascii="黑体" w:hAnsi="黑体" w:eastAsia="黑体"/>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4" w:name="c2"/>
      <w:r>
        <w:rPr>
          <w:rFonts w:ascii="黑体" w:eastAsia="黑体"/>
          <w:b w:val="0"/>
          <w:bCs w:val="0"/>
          <w:w w:val="100"/>
          <w:sz w:val="48"/>
        </w:rPr>
        <w:instrText xml:space="preserve"> FORMTEXT </w:instrText>
      </w:r>
      <w:r>
        <w:rPr>
          <w:rFonts w:ascii="黑体" w:eastAsia="黑体"/>
          <w:b w:val="0"/>
          <w:bCs w:val="0"/>
          <w:w w:val="100"/>
          <w:sz w:val="48"/>
        </w:rPr>
        <w:fldChar w:fldCharType="separate"/>
      </w:r>
      <w:r>
        <w:rPr>
          <w:rFonts w:hint="eastAsia" w:ascii="黑体" w:eastAsia="黑体"/>
          <w:b w:val="0"/>
          <w:bCs w:val="0"/>
          <w:w w:val="100"/>
          <w:sz w:val="48"/>
        </w:rPr>
        <w:t>国内贸易</w:t>
      </w:r>
      <w:r>
        <w:rPr>
          <w:rFonts w:ascii="黑体" w:eastAsia="黑体"/>
          <w:b w:val="0"/>
          <w:bCs w:val="0"/>
          <w:w w:val="100"/>
          <w:sz w:val="48"/>
        </w:rPr>
        <w:fldChar w:fldCharType="end"/>
      </w:r>
      <w:bookmarkEnd w:id="4"/>
      <w:r>
        <w:rPr>
          <w:rFonts w:hint="eastAsia" w:ascii="黑体" w:hAnsi="黑体" w:eastAsia="黑体"/>
          <w:b w:val="0"/>
          <w:bCs w:val="0"/>
          <w:w w:val="100"/>
          <w:sz w:val="48"/>
          <w:szCs w:val="48"/>
        </w:rPr>
        <w:t>行业标准</w:t>
      </w:r>
    </w:p>
    <w:bookmarkEnd w:id="2"/>
    <w:p>
      <w:pPr>
        <w:pStyle w:val="196"/>
        <w:rPr>
          <w:lang w:val="fr-FR"/>
        </w:rPr>
      </w:pP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SB</w:t>
      </w:r>
      <w:r>
        <w:rPr>
          <w:lang w:val="fr-FR"/>
        </w:rPr>
        <w:t>/T</w:t>
      </w:r>
      <w:r>
        <w:fldChar w:fldCharType="end"/>
      </w:r>
      <w:bookmarkEnd w:id="5"/>
      <w:r>
        <w:rPr>
          <w:lang w:val="fr-FR"/>
        </w:rPr>
        <w:t xml:space="preserve"> </w:t>
      </w:r>
      <w:r>
        <w:fldChar w:fldCharType="begin">
          <w:ffData>
            <w:name w:val="NSTD_CODE_F"/>
            <w:enabled/>
            <w:calcOnExit w:val="0"/>
            <w:textInput>
              <w:default w:val="XXXXX"/>
            </w:textInput>
          </w:ffData>
        </w:fldChar>
      </w:r>
      <w:bookmarkStart w:id="6" w:name="NSTD_CODE_F"/>
      <w:r>
        <w:rPr>
          <w:lang w:val="fr-FR"/>
        </w:rPr>
        <w:instrText xml:space="preserve"> FORMTEXT </w:instrText>
      </w:r>
      <w:r>
        <w:fldChar w:fldCharType="separate"/>
      </w:r>
      <w:r>
        <w:t>XXXXX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7"/>
        <w:rPr>
          <w:rFonts w:hAnsi="黑体"/>
          <w:lang w:val="fr-FR"/>
        </w:rPr>
      </w:pPr>
      <w:r>
        <w:rPr>
          <w:rFonts w:hAnsi="黑体"/>
        </w:rPr>
        <w:fldChar w:fldCharType="begin">
          <w:ffData>
            <w:name w:val="OSTD_CODE"/>
            <w:enabled/>
            <w:calcOnExit w:val="0"/>
            <w:textInput/>
          </w:ffData>
        </w:fldChar>
      </w:r>
      <w:bookmarkStart w:id="8" w:name="OSTD_CODE"/>
      <w:r>
        <w:rPr>
          <w:rFonts w:hAnsi="黑体"/>
          <w:lang w:val="fr-FR"/>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lang w:val="fr-FR"/>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J4NJltgAAAAMAQAADwAAAAAAAAABACAAAAA4AAAAZHJzL2Rvd25yZXYu&#10;eG1sUEsBAhQAFAAAAAgAh07iQLvgymblAQAArAMAAA4AAAAAAAAAAQAgAAAAPQEAAGRycy9lMm9E&#10;b2MueG1sUEsFBgAAAAAGAAYAWQEAAJQFAAAAAA==&#10;">
                <v:fill on="f" focussize="0,0"/>
                <v:stroke color="#000000" joinstyle="round"/>
                <v:imagedata o:title=""/>
                <o:lock v:ext="edit" aspectratio="f"/>
              </v:line>
            </w:pict>
          </mc:Fallback>
        </mc:AlternateContent>
      </w:r>
    </w:p>
    <w:p>
      <w:pPr>
        <w:pStyle w:val="51"/>
        <w:framePr w:w="9639" w:h="6976" w:hRule="exact" w:hSpace="0" w:vSpace="0" w:wrap="around" w:hAnchor="page" w:y="6408"/>
        <w:jc w:val="center"/>
        <w:rPr>
          <w:rFonts w:ascii="黑体" w:hAnsi="黑体" w:eastAsia="黑体"/>
          <w:b w:val="0"/>
          <w:bCs w:val="0"/>
          <w:w w:val="100"/>
          <w:lang w:val="fr-FR"/>
        </w:rPr>
      </w:pPr>
    </w:p>
    <w:p>
      <w:pPr>
        <w:pStyle w:val="198"/>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数字化供应链管理咨询服务指南</w:t>
      </w:r>
      <w:r>
        <w:fldChar w:fldCharType="end"/>
      </w:r>
      <w:bookmarkEnd w:id="9"/>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Guidelines for management consultancy services of digital supply chain</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（本草案完成时间：2024年10月31日）</w:t>
      </w:r>
      <w:r>
        <w:rPr>
          <w:sz w:val="21"/>
          <w:szCs w:val="28"/>
        </w:rPr>
        <w:fldChar w:fldCharType="end"/>
      </w:r>
      <w:bookmarkEnd w:id="12"/>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中华人民共和国商务部</w:t>
      </w:r>
      <w:r>
        <w:rPr>
          <w:rFonts w:hAnsi="黑体"/>
          <w:w w:val="100"/>
          <w:sz w:val="28"/>
        </w:rPr>
        <w:fldChar w:fldCharType="end"/>
      </w:r>
      <w:bookmarkEnd w:id="20"/>
      <w:r>
        <w:rPr>
          <w:rFonts w:ascii="Times New Roman"/>
          <w:w w:val="100"/>
          <w:sz w:val="28"/>
          <w:szCs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021"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qzMc+9cAAAAOAQAADwAAAAAAAAABACAAAAA4AAAAZHJzL2Rvd25yZXYueG1s&#10;UEsBAhQAFAAAAAgAh07iQFkuJZjjAQAAqgMAAA4AAAAAAAAAAQAgAAAAPAEAAGRycy9lMm9Eb2Mu&#10;eG1sUEsFBgAAAAAGAAYAWQEAAJEFAAAAAA==&#10;">
                <v:fill on="f" focussize="0,0"/>
                <v:stroke color="#000000" joinstyle="round"/>
                <v:imagedata o:title=""/>
                <o:lock v:ext="edit" aspectratio="f"/>
                <w10:anchorlock/>
              </v:line>
            </w:pict>
          </mc:Fallback>
        </mc:AlternateContent>
      </w:r>
    </w:p>
    <w:p>
      <w:pPr>
        <w:pStyle w:val="92"/>
        <w:spacing w:after="360"/>
        <w:rPr>
          <w:rFonts w:hint="eastAsia"/>
        </w:rPr>
      </w:pPr>
      <w:bookmarkStart w:id="21" w:name="BookMark1"/>
      <w:bookmarkStart w:id="22" w:name="_Toc190187241"/>
      <w:r>
        <w:rPr>
          <w:rFonts w:hint="eastAsia"/>
          <w:spacing w:val="320"/>
        </w:rPr>
        <w:t>目</w:t>
      </w:r>
      <w:r>
        <w:rPr>
          <w:rFonts w:hint="eastAsia"/>
        </w:rPr>
        <w:t>次</w:t>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TOC \o "1-1" \h </w:instrText>
      </w:r>
      <w:r>
        <w:fldChar w:fldCharType="separate"/>
      </w:r>
      <w:r>
        <w:fldChar w:fldCharType="begin"/>
      </w:r>
      <w:r>
        <w:instrText xml:space="preserve"> HYPERLINK \l "_Toc190187282" </w:instrText>
      </w:r>
      <w:r>
        <w:fldChar w:fldCharType="separate"/>
      </w:r>
      <w:r>
        <w:rPr>
          <w:rStyle w:val="33"/>
        </w:rPr>
        <w:t>前言</w:t>
      </w:r>
      <w:r>
        <w:tab/>
      </w:r>
      <w:r>
        <w:fldChar w:fldCharType="begin"/>
      </w:r>
      <w:r>
        <w:instrText xml:space="preserve"> PAGEREF _Toc190187282 \h </w:instrText>
      </w:r>
      <w:r>
        <w:fldChar w:fldCharType="separate"/>
      </w:r>
      <w:r>
        <w:t>II</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"_Toc190187284" </w:instrText>
      </w:r>
      <w:r>
        <w:fldChar w:fldCharType="separate"/>
      </w:r>
      <w:r>
        <w:rPr>
          <w:rStyle w:val="33"/>
        </w:rPr>
        <w:t>1  范围</w:t>
      </w:r>
      <w:r>
        <w:tab/>
      </w:r>
      <w:r>
        <w:fldChar w:fldCharType="begin"/>
      </w:r>
      <w:r>
        <w:instrText xml:space="preserve"> PAGEREF _Toc190187284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"_Toc190187285" </w:instrText>
      </w:r>
      <w:r>
        <w:fldChar w:fldCharType="separate"/>
      </w:r>
      <w:r>
        <w:rPr>
          <w:rStyle w:val="33"/>
        </w:rPr>
        <w:t>2  规范性引用文件</w:t>
      </w:r>
      <w:r>
        <w:tab/>
      </w:r>
      <w:r>
        <w:fldChar w:fldCharType="begin"/>
      </w:r>
      <w:r>
        <w:instrText xml:space="preserve"> PAGEREF _Toc190187285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"_Toc190187286" </w:instrText>
      </w:r>
      <w:r>
        <w:fldChar w:fldCharType="separate"/>
      </w:r>
      <w:r>
        <w:rPr>
          <w:rStyle w:val="33"/>
        </w:rPr>
        <w:t>3  术语和定义</w:t>
      </w:r>
      <w:r>
        <w:tab/>
      </w:r>
      <w:r>
        <w:fldChar w:fldCharType="begin"/>
      </w:r>
      <w:r>
        <w:instrText xml:space="preserve"> PAGEREF _Toc190187286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"_Toc190187287" </w:instrText>
      </w:r>
      <w:r>
        <w:fldChar w:fldCharType="separate"/>
      </w:r>
      <w:r>
        <w:rPr>
          <w:rStyle w:val="33"/>
        </w:rPr>
        <w:t>4  总体原则</w:t>
      </w:r>
      <w:r>
        <w:tab/>
      </w:r>
      <w:r>
        <w:fldChar w:fldCharType="begin"/>
      </w:r>
      <w:r>
        <w:instrText xml:space="preserve"> PAGEREF _Toc190187287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"_Toc190187288" </w:instrText>
      </w:r>
      <w:r>
        <w:fldChar w:fldCharType="separate"/>
      </w:r>
      <w:r>
        <w:rPr>
          <w:rStyle w:val="33"/>
        </w:rPr>
        <w:t>5  服务保障</w:t>
      </w:r>
      <w:r>
        <w:tab/>
      </w:r>
      <w:r>
        <w:fldChar w:fldCharType="begin"/>
      </w:r>
      <w:r>
        <w:instrText xml:space="preserve"> PAGEREF _Toc190187288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"_Toc190187289" </w:instrText>
      </w:r>
      <w:r>
        <w:fldChar w:fldCharType="separate"/>
      </w:r>
      <w:r>
        <w:rPr>
          <w:rStyle w:val="33"/>
        </w:rPr>
        <w:t>6  服务内容和服务流程</w:t>
      </w:r>
      <w:r>
        <w:tab/>
      </w:r>
      <w:r>
        <w:fldChar w:fldCharType="begin"/>
      </w:r>
      <w:r>
        <w:instrText xml:space="preserve"> PAGEREF _Toc190187289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"_Toc190187290" </w:instrText>
      </w:r>
      <w:r>
        <w:fldChar w:fldCharType="separate"/>
      </w:r>
      <w:r>
        <w:rPr>
          <w:rStyle w:val="33"/>
        </w:rPr>
        <w:t>7  技术实现的工具和方法</w:t>
      </w:r>
      <w:r>
        <w:tab/>
      </w:r>
      <w:r>
        <w:rPr>
          <w:rFonts w:hint="eastAsia"/>
          <w:lang w:val="en-US" w:eastAsia="zh-CN"/>
        </w:rPr>
        <w:t>6</w:t>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"_Toc190187291" </w:instrText>
      </w:r>
      <w:r>
        <w:fldChar w:fldCharType="separate"/>
      </w:r>
      <w:r>
        <w:rPr>
          <w:rStyle w:val="33"/>
        </w:rPr>
        <w:t>8  服务质量持续改进</w:t>
      </w:r>
      <w:r>
        <w:tab/>
      </w:r>
      <w:r>
        <w:rPr>
          <w:rFonts w:hint="eastAsia"/>
          <w:lang w:val="en-US" w:eastAsia="zh-CN"/>
        </w:rPr>
        <w:t>9</w:t>
      </w:r>
      <w:r>
        <w:fldChar w:fldCharType="end"/>
      </w:r>
    </w:p>
    <w:p>
      <w:pPr>
        <w:pStyle w:val="20"/>
        <w:tabs>
          <w:tab w:val="right" w:leader="dot" w:pos="9344"/>
        </w:tabs>
        <w:rPr>
          <w:rFonts w:hint="eastAsia" w:eastAsia="宋体" w:asciiTheme="minorHAnsi" w:hAnsiTheme="minorHAnsi" w:cstheme="minorBidi"/>
          <w:sz w:val="22"/>
          <w:szCs w:val="24"/>
          <w:lang w:val="en-US" w:eastAsia="zh-CN"/>
          <w14:ligatures w14:val="standardContextual"/>
        </w:rPr>
      </w:pPr>
      <w:r>
        <w:fldChar w:fldCharType="begin"/>
      </w:r>
      <w:r>
        <w:instrText xml:space="preserve"> HYPERLINK \l "_Toc190187292" </w:instrText>
      </w:r>
      <w:r>
        <w:fldChar w:fldCharType="separate"/>
      </w:r>
      <w:r>
        <w:rPr>
          <w:rStyle w:val="33"/>
        </w:rPr>
        <w:t xml:space="preserve">附录A（资料性）  </w:t>
      </w:r>
      <w:r>
        <w:rPr>
          <w:rStyle w:val="33"/>
          <w:rFonts w:hint="eastAsia"/>
          <w:color w:val="auto"/>
          <w:lang w:eastAsia="zh-CN"/>
        </w:rPr>
        <w:t>管理咨询</w:t>
      </w:r>
      <w:r>
        <w:rPr>
          <w:rStyle w:val="33"/>
        </w:rPr>
        <w:t>服务提供方能力</w:t>
      </w:r>
      <w:r>
        <w:tab/>
      </w:r>
      <w:r>
        <w:rPr>
          <w:rFonts w:hint="eastAsia"/>
          <w:lang w:val="en-US" w:eastAsia="zh-CN"/>
        </w:rPr>
        <w:t>1</w:t>
      </w:r>
      <w:r>
        <w:fldChar w:fldCharType="end"/>
      </w:r>
      <w:r>
        <w:rPr>
          <w:rFonts w:hint="eastAsia"/>
          <w:lang w:val="en-US" w:eastAsia="zh-CN"/>
        </w:rPr>
        <w:t>1</w:t>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"_Toc190187293" </w:instrText>
      </w:r>
      <w:r>
        <w:fldChar w:fldCharType="separate"/>
      </w:r>
      <w:r>
        <w:rPr>
          <w:rStyle w:val="33"/>
        </w:rPr>
        <w:t>附录B（资料性）  数字化供应链诊断内容</w:t>
      </w:r>
      <w:r>
        <w:tab/>
      </w:r>
      <w:r>
        <w:fldChar w:fldCharType="begin"/>
      </w:r>
      <w:r>
        <w:instrText xml:space="preserve"> PAGEREF _Toc190187293 \h </w:instrText>
      </w:r>
      <w:r>
        <w:fldChar w:fldCharType="separate"/>
      </w:r>
      <w:r>
        <w:t>1</w:t>
      </w:r>
      <w:r>
        <w:rPr>
          <w:rFonts w:hint="eastAsia"/>
          <w:lang w:val="en-US" w:eastAsia="zh-CN"/>
        </w:rPr>
        <w:t>2</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"_Toc190187294" </w:instrText>
      </w:r>
      <w:r>
        <w:fldChar w:fldCharType="separate"/>
      </w:r>
      <w:r>
        <w:rPr>
          <w:rStyle w:val="33"/>
        </w:rPr>
        <w:t>附录C（资料性）  数字化供应链</w:t>
      </w:r>
      <w:r>
        <w:rPr>
          <w:rStyle w:val="33"/>
          <w:rFonts w:hint="eastAsia"/>
          <w:lang w:eastAsia="zh-CN"/>
        </w:rPr>
        <w:t>绩效、流程、技术、人员</w:t>
      </w:r>
      <w:r>
        <w:rPr>
          <w:rStyle w:val="33"/>
        </w:rPr>
        <w:t>管理咨询的工具和方法</w:t>
      </w:r>
      <w:r>
        <w:tab/>
      </w:r>
      <w:r>
        <w:fldChar w:fldCharType="begin"/>
      </w:r>
      <w:r>
        <w:instrText xml:space="preserve"> PAGEREF _Toc190187294 \h </w:instrText>
      </w:r>
      <w:r>
        <w:fldChar w:fldCharType="separate"/>
      </w:r>
      <w:r>
        <w:t>1</w:t>
      </w:r>
      <w:r>
        <w:rPr>
          <w:rFonts w:hint="eastAsia"/>
          <w:lang w:val="en-US" w:eastAsia="zh-CN"/>
        </w:rPr>
        <w:t>3</w:t>
      </w:r>
      <w:r>
        <w:fldChar w:fldCharType="end"/>
      </w:r>
      <w:r>
        <w:fldChar w:fldCharType="end"/>
      </w:r>
    </w:p>
    <w:p>
      <w:pPr>
        <w:pStyle w:val="20"/>
        <w:tabs>
          <w:tab w:val="right" w:leader="dot" w:pos="9344"/>
        </w:tabs>
        <w:rPr>
          <w:rFonts w:asciiTheme="minorHAnsi" w:hAnsiTheme="minorHAnsi" w:eastAsiaTheme="minorEastAsia" w:cstheme="minorBidi"/>
          <w:sz w:val="22"/>
          <w:szCs w:val="24"/>
          <w14:ligatures w14:val="standardContextual"/>
        </w:rPr>
      </w:pPr>
    </w:p>
    <w:p>
      <w:pPr>
        <w:pStyle w:val="92"/>
        <w:spacing w:after="36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r>
        <w:fldChar w:fldCharType="end"/>
      </w:r>
    </w:p>
    <w:bookmarkEnd w:id="21"/>
    <w:p>
      <w:pPr>
        <w:pStyle w:val="90"/>
        <w:spacing w:before="900" w:after="360"/>
      </w:pPr>
      <w:bookmarkStart w:id="23" w:name="_Toc190187282"/>
      <w:bookmarkStart w:id="24" w:name="BookMark2"/>
      <w:r>
        <w:rPr>
          <w:spacing w:val="320"/>
        </w:rPr>
        <w:t>前</w:t>
      </w:r>
      <w:r>
        <w:t>言</w:t>
      </w:r>
      <w:bookmarkEnd w:id="22"/>
      <w:bookmarkEnd w:id="23"/>
    </w:p>
    <w:p>
      <w:pPr>
        <w:pStyle w:val="57"/>
        <w:ind w:firstLine="420"/>
        <w:rPr>
          <w:rFonts w:hint="eastAsia"/>
        </w:rPr>
      </w:pPr>
      <w:r>
        <w:rPr>
          <w:rFonts w:hint="eastAsia"/>
        </w:rPr>
        <w:t>本文件按照GB/T 1.1—2020《标准化工作导则  第1部分：标准化文件的结构和起草规则》的规定起草。</w:t>
      </w:r>
    </w:p>
    <w:p>
      <w:pPr>
        <w:pStyle w:val="57"/>
        <w:ind w:firstLine="420"/>
      </w:pPr>
      <w:r>
        <w:rPr>
          <w:rFonts w:hint="eastAsia"/>
        </w:rPr>
        <w:t>请注意本文件的某些内容可能涉及专利。本文件的发布机构不承担识别专利的责任。</w:t>
      </w:r>
    </w:p>
    <w:p>
      <w:pPr>
        <w:pStyle w:val="57"/>
        <w:ind w:firstLine="420"/>
      </w:pPr>
      <w:r>
        <w:rPr>
          <w:rFonts w:hint="eastAsia"/>
          <w:lang w:eastAsia="zh-CN"/>
        </w:rPr>
        <w:t>本文件由</w:t>
      </w:r>
      <w:r>
        <w:rPr>
          <w:rFonts w:hint="eastAsia"/>
        </w:rPr>
        <w:t>商务部管理咨询行业标准化技术委员会（SW/TC1）</w:t>
      </w:r>
      <w:r>
        <w:rPr>
          <w:rFonts w:hint="eastAsia"/>
          <w:lang w:eastAsia="zh-CN"/>
        </w:rPr>
        <w:t>归口并解释</w:t>
      </w:r>
      <w:r>
        <w:rPr>
          <w:rFonts w:hint="eastAsia"/>
        </w:rPr>
        <w:t>。</w:t>
      </w:r>
    </w:p>
    <w:p>
      <w:pPr>
        <w:pStyle w:val="57"/>
        <w:ind w:firstLine="420"/>
        <w:rPr>
          <w:rFonts w:hint="eastAsia"/>
        </w:rPr>
      </w:pPr>
      <w:r>
        <w:rPr>
          <w:rFonts w:hint="eastAsia"/>
        </w:rPr>
        <w:t>本文件起草单位：</w:t>
      </w:r>
    </w:p>
    <w:p>
      <w:pPr>
        <w:pStyle w:val="57"/>
        <w:ind w:firstLine="420"/>
        <w:rPr>
          <w:rFonts w:hint="eastAsia"/>
        </w:rPr>
      </w:pPr>
      <w:r>
        <w:rPr>
          <w:rFonts w:hint="eastAsia"/>
        </w:rPr>
        <w:t>本文件主要起草人：</w:t>
      </w:r>
    </w:p>
    <w:p>
      <w:pPr>
        <w:pStyle w:val="57"/>
        <w:ind w:firstLine="420"/>
        <w:rPr>
          <w:rFonts w:hint="eastAsia"/>
        </w:rPr>
      </w:pPr>
      <w:r>
        <w:rPr>
          <w:rFonts w:hint="eastAsia"/>
        </w:rPr>
        <w:t>本文件及其所代替文件的历次版本发布情况为：</w:t>
      </w:r>
    </w:p>
    <w:p>
      <w:pPr>
        <w:pStyle w:val="57"/>
        <w:ind w:firstLine="420"/>
        <w:rPr>
          <w:rFonts w:hint="eastAsia"/>
        </w:rPr>
      </w:pPr>
      <w:r>
        <w:rPr>
          <w:rFonts w:hint="eastAsia"/>
        </w:rPr>
        <w:t>——本文件为首次发布。</w:t>
      </w:r>
    </w:p>
    <w:p>
      <w:pPr>
        <w:pStyle w:val="57"/>
        <w:ind w:firstLine="420"/>
      </w:pPr>
    </w:p>
    <w:p>
      <w:pPr>
        <w:pStyle w:val="57"/>
        <w:ind w:firstLine="420"/>
        <w:sectPr>
          <w:pgSz w:w="11906" w:h="16838"/>
          <w:pgMar w:top="1928" w:right="1134" w:bottom="1134" w:left="1134" w:header="1418" w:footer="1134" w:gutter="284"/>
          <w:pgNumType w:fmt="upperRoman"/>
          <w:cols w:space="425" w:num="1"/>
          <w:formProt w:val="0"/>
          <w:docGrid w:linePitch="312" w:charSpace="0"/>
        </w:sectPr>
      </w:pPr>
    </w:p>
    <w:bookmarkEnd w:id="24"/>
    <w:p>
      <w:pPr>
        <w:spacing w:line="20" w:lineRule="exact"/>
        <w:jc w:val="center"/>
        <w:rPr>
          <w:rFonts w:ascii="黑体" w:hAnsi="黑体" w:eastAsia="黑体"/>
          <w:sz w:val="32"/>
          <w:szCs w:val="32"/>
        </w:rPr>
      </w:pPr>
      <w:bookmarkStart w:id="25" w:name="BookMark4"/>
    </w:p>
    <w:p>
      <w:pPr>
        <w:spacing w:line="20" w:lineRule="exact"/>
        <w:jc w:val="center"/>
        <w:rPr>
          <w:rFonts w:ascii="黑体" w:hAnsi="黑体" w:eastAsia="黑体"/>
          <w:sz w:val="32"/>
          <w:szCs w:val="32"/>
        </w:rPr>
      </w:pPr>
    </w:p>
    <w:sdt>
      <w:sdtPr>
        <w:tag w:val="NEW_STAND_NAME"/>
        <w:id w:val="595910757"/>
        <w:lock w:val="sdtLocked"/>
        <w:placeholder>
          <w:docPart w:val="DCDBD69F16FC4981B481D3DD47B33E35"/>
        </w:placeholder>
      </w:sdtPr>
      <w:sdtContent>
        <w:p>
          <w:pPr>
            <w:pStyle w:val="178"/>
            <w:spacing w:before="240" w:beforeLines="100" w:after="528" w:afterLines="220"/>
          </w:pPr>
          <w:bookmarkStart w:id="26" w:name="NEW_STAND_NAME"/>
          <w:r>
            <w:rPr>
              <w:rFonts w:hint="eastAsia"/>
            </w:rPr>
            <w:t>数字化供应链管理咨询服务指南</w:t>
          </w:r>
        </w:p>
      </w:sdtContent>
    </w:sdt>
    <w:bookmarkEnd w:id="26"/>
    <w:p>
      <w:pPr>
        <w:pStyle w:val="105"/>
        <w:spacing w:before="240" w:after="240"/>
      </w:pPr>
      <w:bookmarkStart w:id="27" w:name="_Toc26986530"/>
      <w:bookmarkStart w:id="28" w:name="_Toc190187284"/>
      <w:bookmarkStart w:id="29" w:name="_Toc24884218"/>
      <w:bookmarkStart w:id="30" w:name="_Toc17233325"/>
      <w:bookmarkStart w:id="31" w:name="_Toc17233333"/>
      <w:bookmarkStart w:id="32" w:name="_Toc26986771"/>
      <w:bookmarkStart w:id="33" w:name="_Toc26648465"/>
      <w:bookmarkStart w:id="34" w:name="_Toc26718930"/>
      <w:bookmarkStart w:id="35" w:name="_Toc190187243"/>
      <w:bookmarkStart w:id="36" w:name="_Toc97195091"/>
      <w:bookmarkStart w:id="37" w:name="_Toc24884211"/>
      <w:r>
        <w:rPr>
          <w:rFonts w:hint="eastAsia"/>
        </w:rPr>
        <w:t>范围</w:t>
      </w:r>
      <w:bookmarkEnd w:id="27"/>
      <w:bookmarkEnd w:id="28"/>
      <w:bookmarkEnd w:id="29"/>
      <w:bookmarkEnd w:id="30"/>
      <w:bookmarkEnd w:id="31"/>
      <w:bookmarkEnd w:id="32"/>
      <w:bookmarkEnd w:id="33"/>
      <w:bookmarkEnd w:id="34"/>
      <w:bookmarkEnd w:id="35"/>
      <w:bookmarkEnd w:id="36"/>
      <w:bookmarkEnd w:id="37"/>
    </w:p>
    <w:p>
      <w:pPr>
        <w:pStyle w:val="57"/>
        <w:ind w:firstLine="420"/>
        <w:rPr>
          <w:rFonts w:hint="eastAsia"/>
        </w:rPr>
      </w:pPr>
      <w:bookmarkStart w:id="38" w:name="_Toc24884212"/>
      <w:bookmarkStart w:id="39" w:name="_Toc17233334"/>
      <w:bookmarkStart w:id="40" w:name="_Toc26648466"/>
      <w:bookmarkStart w:id="41" w:name="_Toc24884219"/>
      <w:bookmarkStart w:id="42" w:name="_Toc17233326"/>
      <w:r>
        <w:rPr>
          <w:rFonts w:hint="eastAsia"/>
        </w:rPr>
        <w:t>本文件确立了数字化供应链管理咨询服务的总体原则，提供了数字化供应链管理咨询过程的服务保障、服务内容、服务流程、技术实现的工具和方法和服务质量持续改进需要关注的要素。</w:t>
      </w:r>
    </w:p>
    <w:p>
      <w:pPr>
        <w:pStyle w:val="57"/>
        <w:ind w:firstLine="420"/>
      </w:pPr>
      <w:r>
        <w:rPr>
          <w:rFonts w:hint="eastAsia"/>
        </w:rPr>
        <w:t>本文件适用于管理咨询服务提供方开展数字化供应链的管理咨询。</w:t>
      </w:r>
    </w:p>
    <w:p>
      <w:pPr>
        <w:pStyle w:val="105"/>
        <w:spacing w:before="240" w:after="240"/>
      </w:pPr>
      <w:bookmarkStart w:id="43" w:name="_Toc26986772"/>
      <w:bookmarkStart w:id="44" w:name="_Toc26986531"/>
      <w:bookmarkStart w:id="45" w:name="_Toc190187244"/>
      <w:bookmarkStart w:id="46" w:name="_Toc97195092"/>
      <w:bookmarkStart w:id="47" w:name="_Toc190187285"/>
      <w:bookmarkStart w:id="48" w:name="_Toc26718931"/>
      <w:r>
        <w:rPr>
          <w:rFonts w:hint="eastAsia"/>
        </w:rPr>
        <w:t>规范性引用文件</w:t>
      </w:r>
      <w:bookmarkEnd w:id="38"/>
      <w:bookmarkEnd w:id="39"/>
      <w:bookmarkEnd w:id="40"/>
      <w:bookmarkEnd w:id="41"/>
      <w:bookmarkEnd w:id="42"/>
      <w:bookmarkEnd w:id="43"/>
      <w:bookmarkEnd w:id="44"/>
      <w:bookmarkEnd w:id="45"/>
      <w:bookmarkEnd w:id="46"/>
      <w:bookmarkEnd w:id="47"/>
      <w:bookmarkEnd w:id="48"/>
    </w:p>
    <w:sdt>
      <w:sdtPr>
        <w:rPr>
          <w:rFonts w:hint="eastAsia"/>
        </w:rPr>
        <w:id w:val="715848253"/>
        <w:placeholder>
          <w:docPart w:val="7C336A78677C4742B19B12062AA02D4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pPr>
      <w:r>
        <w:rPr>
          <w:rFonts w:hint="eastAsia"/>
        </w:rPr>
        <w:t>GB/T 42493 管理咨询服务指南</w:t>
      </w:r>
    </w:p>
    <w:p>
      <w:pPr>
        <w:pStyle w:val="105"/>
        <w:spacing w:before="240" w:after="240"/>
      </w:pPr>
      <w:bookmarkStart w:id="49" w:name="_Toc190187286"/>
      <w:bookmarkStart w:id="50" w:name="_Toc97195093"/>
      <w:bookmarkStart w:id="51" w:name="_Toc190187245"/>
      <w:r>
        <w:rPr>
          <w:rFonts w:hint="eastAsia"/>
          <w:szCs w:val="21"/>
        </w:rPr>
        <w:t>术语和定义</w:t>
      </w:r>
      <w:bookmarkEnd w:id="49"/>
      <w:bookmarkEnd w:id="50"/>
      <w:bookmarkEnd w:id="51"/>
    </w:p>
    <w:sdt>
      <w:sdtPr>
        <w:id w:val="-1"/>
        <w:placeholder>
          <w:docPart w:val="A1E57470594246E393C76C55190F916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7"/>
            <w:ind w:firstLine="420"/>
          </w:pPr>
          <w:bookmarkStart w:id="52" w:name="_Toc26986532"/>
          <w:bookmarkEnd w:id="52"/>
          <w:r>
            <w:t>GB/T 42493界定的以及下列术语和定义适用于本文件。</w:t>
          </w:r>
        </w:p>
      </w:sdtContent>
    </w:sdt>
    <w:p>
      <w:pPr>
        <w:pStyle w:val="224"/>
        <w:rPr>
          <w:rFonts w:ascii="黑体" w:hAnsi="黑体" w:eastAsia="黑体"/>
        </w:rPr>
      </w:pPr>
      <w:r>
        <w:rPr>
          <w:rFonts w:ascii="黑体" w:hAnsi="黑体" w:eastAsia="黑体"/>
        </w:rPr>
        <w:br w:type="textWrapping"/>
      </w:r>
      <w:r>
        <w:rPr>
          <w:rFonts w:hint="eastAsia" w:ascii="黑体" w:hAnsi="黑体" w:eastAsia="黑体"/>
        </w:rPr>
        <w:t xml:space="preserve">    数字化供应链  </w:t>
      </w:r>
      <w:r>
        <w:rPr>
          <w:rFonts w:ascii="黑体" w:hAnsi="黑体" w:eastAsia="黑体"/>
        </w:rPr>
        <w:t>digital supply chain</w:t>
      </w:r>
    </w:p>
    <w:p>
      <w:pPr>
        <w:pStyle w:val="57"/>
        <w:ind w:firstLine="420"/>
      </w:pPr>
      <w:r>
        <w:rPr>
          <w:rFonts w:hint="eastAsia"/>
        </w:rPr>
        <w:t>数字化环境下，以客户（消费者）为中心、以价值创造为导向、以数据为驱动、以平台为依托、利用物联网、人工智能、云计算、大数据分析和自主机器人等新一代信息技术对供应链进行重组，实现供应商、制造商、经销商、服务商以及客户（消费者）等供应链合作伙伴多线连接，数据、物料、资金等高效协同、柔性配置的供应链全新形态。</w:t>
      </w:r>
    </w:p>
    <w:p>
      <w:pPr>
        <w:pStyle w:val="105"/>
        <w:spacing w:before="240" w:after="240"/>
      </w:pPr>
      <w:bookmarkStart w:id="53" w:name="_Toc190187246"/>
      <w:bookmarkStart w:id="54" w:name="_Toc190187287"/>
      <w:r>
        <w:rPr>
          <w:rFonts w:hint="eastAsia"/>
        </w:rPr>
        <w:t>总体原则</w:t>
      </w:r>
      <w:bookmarkEnd w:id="53"/>
      <w:bookmarkEnd w:id="54"/>
    </w:p>
    <w:p>
      <w:pPr>
        <w:pStyle w:val="106"/>
        <w:spacing w:before="120" w:after="120"/>
      </w:pPr>
      <w:bookmarkStart w:id="55" w:name="_Toc190187247"/>
      <w:r>
        <w:rPr>
          <w:rFonts w:hint="eastAsia"/>
        </w:rPr>
        <w:t>数字化战略驱动原则</w:t>
      </w:r>
      <w:bookmarkEnd w:id="55"/>
    </w:p>
    <w:p>
      <w:pPr>
        <w:pStyle w:val="57"/>
        <w:ind w:firstLine="420"/>
      </w:pPr>
      <w:r>
        <w:rPr>
          <w:rFonts w:hint="eastAsia"/>
        </w:rPr>
        <w:t>数字化供应链管理咨询方案中宜制定与之相匹配的数字化供应链战略；以数字化供应链战略为底座，绘制数字化供应链愿景蓝图；分阶段制定关键步骤、分析步骤优先级和关系，从而为企业构建数字化供应链，支撑企业达成战略目标。</w:t>
      </w:r>
    </w:p>
    <w:p>
      <w:pPr>
        <w:pStyle w:val="106"/>
        <w:spacing w:before="120" w:after="120"/>
      </w:pPr>
      <w:bookmarkStart w:id="56" w:name="_Toc190187248"/>
      <w:r>
        <w:rPr>
          <w:rFonts w:hint="eastAsia"/>
        </w:rPr>
        <w:t>数字化系统设计原则</w:t>
      </w:r>
      <w:bookmarkEnd w:id="56"/>
    </w:p>
    <w:p>
      <w:pPr>
        <w:pStyle w:val="57"/>
        <w:ind w:firstLine="420"/>
      </w:pPr>
      <w:r>
        <w:rPr>
          <w:rFonts w:hint="eastAsia"/>
        </w:rPr>
        <w:t>管理咨询服务提供方给出管理咨询报告，宜系统设计业务架构、信息架构、应用架构和技术架构，促进供应链内部的职能集成，企业内部营、销、服、供、财等领域的价值链集成，以及跨企业的生态合作伙伴产业链集成。</w:t>
      </w:r>
    </w:p>
    <w:p>
      <w:pPr>
        <w:pStyle w:val="106"/>
        <w:spacing w:before="120" w:after="120"/>
      </w:pPr>
      <w:bookmarkStart w:id="57" w:name="_Toc190187249"/>
      <w:r>
        <w:rPr>
          <w:rFonts w:hint="eastAsia"/>
        </w:rPr>
        <w:t>价值创造原则</w:t>
      </w:r>
      <w:bookmarkEnd w:id="57"/>
    </w:p>
    <w:p>
      <w:pPr>
        <w:pStyle w:val="57"/>
        <w:ind w:firstLine="420"/>
      </w:pPr>
      <w:r>
        <w:rPr>
          <w:rFonts w:hint="eastAsia"/>
        </w:rPr>
        <w:t>设计数字化供应链管理咨询方案时，宜聚焦数字化供应链的价值创造，利用物联网、人工智能、云计算、大数据分析和自主机器人等先进技术，构建以价值创造为导向的供应链体系；通过实时在线的供应链形态，实现供应链端到端的可视化；最大化利用数据支持智能决策，提升供应链的整体效能和响应速度，最终实现客户价值的最大化。</w:t>
      </w:r>
    </w:p>
    <w:p>
      <w:pPr>
        <w:pStyle w:val="106"/>
        <w:spacing w:before="120" w:after="120"/>
        <w:rPr>
          <w:rFonts w:hint="eastAsia" w:ascii="宋体" w:hAnsi="Times New Roman" w:eastAsia="宋体" w:cs="Times New Roman"/>
          <w:sz w:val="21"/>
          <w:lang w:val="en-US" w:eastAsia="zh-CN" w:bidi="ar-SA"/>
        </w:rPr>
      </w:pPr>
      <w:bookmarkStart w:id="58" w:name="_Toc190187250"/>
      <w:r>
        <w:rPr>
          <w:rFonts w:hint="eastAsia"/>
        </w:rPr>
        <w:t>决策智能化原则</w:t>
      </w:r>
      <w:bookmarkEnd w:id="58"/>
    </w:p>
    <w:p>
      <w:pPr>
        <w:pStyle w:val="57"/>
        <w:ind w:firstLine="420"/>
        <w:rPr>
          <w:rFonts w:hint="eastAsia"/>
        </w:rPr>
      </w:pPr>
      <w:r>
        <w:rPr>
          <w:rFonts w:hint="eastAsia" w:ascii="宋体" w:hAnsi="Times New Roman" w:eastAsia="宋体" w:cs="Times New Roman"/>
          <w:sz w:val="21"/>
          <w:lang w:val="en-US" w:eastAsia="zh-CN" w:bidi="ar-SA"/>
        </w:rPr>
        <w:t>管理咨询方案宜本着提升</w:t>
      </w:r>
      <w:r>
        <w:rPr>
          <w:rFonts w:hint="eastAsia"/>
          <w:highlight w:val="none"/>
        </w:rPr>
        <w:t>接受方</w:t>
      </w:r>
      <w:r>
        <w:rPr>
          <w:rFonts w:hint="eastAsia"/>
        </w:rPr>
        <w:t>供应链决策智能化的原则，利用物联网、人工智能、云计算、大数据分析和自主机器人等先进技术，实现通过数据驱动、自动化与智能化、实时协同与可视化以及灵活性与韧性等方面的提升，</w:t>
      </w:r>
      <w:r>
        <w:rPr>
          <w:rFonts w:hint="eastAsia"/>
          <w:lang w:eastAsia="zh-CN"/>
        </w:rPr>
        <w:t>以</w:t>
      </w:r>
      <w:r>
        <w:rPr>
          <w:rFonts w:hint="eastAsia"/>
        </w:rPr>
        <w:t>增强企业的运营效率、降低成本并提高客户满意度。</w:t>
      </w:r>
    </w:p>
    <w:p>
      <w:pPr>
        <w:pStyle w:val="106"/>
        <w:spacing w:before="120" w:after="120"/>
      </w:pPr>
      <w:r>
        <w:rPr>
          <w:rFonts w:hint="eastAsia" w:ascii="黑体" w:hAnsi="黑体" w:eastAsia="黑体" w:cs="黑体"/>
          <w:highlight w:val="none"/>
        </w:rPr>
        <w:t>组织生态化</w:t>
      </w:r>
      <w:r>
        <w:rPr>
          <w:rFonts w:hint="eastAsia"/>
        </w:rPr>
        <w:t>原则</w:t>
      </w:r>
    </w:p>
    <w:p>
      <w:pPr>
        <w:pStyle w:val="57"/>
        <w:ind w:firstLine="420"/>
        <w:rPr>
          <w:rFonts w:hint="eastAsia"/>
        </w:rPr>
      </w:pPr>
      <w:r>
        <w:rPr>
          <w:rFonts w:hint="eastAsia" w:ascii="宋体" w:hAnsi="宋体" w:eastAsia="宋体" w:cs="宋体"/>
          <w:kern w:val="0"/>
          <w:sz w:val="21"/>
          <w:szCs w:val="21"/>
          <w:lang w:val="en-US" w:eastAsia="zh-CN" w:bidi="ar-SA"/>
        </w:rPr>
        <w:t>开展管理咨询服务时，</w:t>
      </w:r>
      <w:r>
        <w:rPr>
          <w:rFonts w:hint="eastAsia" w:ascii="宋体" w:hAnsi="Times New Roman" w:eastAsia="宋体" w:cs="Times New Roman"/>
          <w:kern w:val="0"/>
          <w:sz w:val="21"/>
          <w:szCs w:val="21"/>
          <w:highlight w:val="none"/>
          <w:lang w:val="en-US" w:eastAsia="zh-CN" w:bidi="ar-SA"/>
        </w:rPr>
        <w:t>宜</w:t>
      </w:r>
      <w:r>
        <w:rPr>
          <w:rFonts w:hint="eastAsia" w:ascii="宋体" w:hAnsi="宋体" w:eastAsia="宋体" w:cs="宋体"/>
          <w:kern w:val="0"/>
          <w:sz w:val="21"/>
          <w:szCs w:val="21"/>
          <w:lang w:val="en-US" w:eastAsia="zh-CN" w:bidi="ar-SA"/>
        </w:rPr>
        <w:t>考虑供应链生态网络合作伙伴共同创造价值，共同建设数字化供应链平台作为生态系统形成发展的基础纽带，连接并协调各种类型参与者在供应链各环节协同联动、共生共存，共畅生态系统中的信息流、物流和资金流，形成共享自治、能力互补和价值共创的供应链生态系统</w:t>
      </w:r>
      <w:r>
        <w:rPr>
          <w:rFonts w:hint="eastAsia"/>
        </w:rPr>
        <w:t>。</w:t>
      </w:r>
    </w:p>
    <w:p>
      <w:pPr>
        <w:pStyle w:val="105"/>
        <w:spacing w:before="240" w:after="240"/>
      </w:pPr>
      <w:bookmarkStart w:id="59" w:name="_Toc190187251"/>
      <w:bookmarkStart w:id="60" w:name="_Toc190187288"/>
      <w:r>
        <w:rPr>
          <w:rFonts w:hint="eastAsia"/>
        </w:rPr>
        <w:t>服务保障</w:t>
      </w:r>
      <w:bookmarkEnd w:id="59"/>
      <w:bookmarkEnd w:id="60"/>
    </w:p>
    <w:p>
      <w:pPr>
        <w:pStyle w:val="106"/>
        <w:spacing w:before="120" w:after="120"/>
      </w:pPr>
      <w:bookmarkStart w:id="61" w:name="_Toc190187252"/>
      <w:r>
        <w:rPr>
          <w:rFonts w:hint="eastAsia"/>
          <w:color w:val="auto"/>
          <w:lang w:eastAsia="zh-CN"/>
        </w:rPr>
        <w:t>管理咨询</w:t>
      </w:r>
      <w:r>
        <w:rPr>
          <w:rFonts w:hint="eastAsia"/>
        </w:rPr>
        <w:t>服务提供方资源配置能力</w:t>
      </w:r>
      <w:bookmarkEnd w:id="61"/>
    </w:p>
    <w:p>
      <w:pPr>
        <w:pStyle w:val="166"/>
        <w:rPr>
          <w:rFonts w:hint="eastAsia"/>
        </w:rPr>
      </w:pPr>
      <w:r>
        <w:rPr>
          <w:rFonts w:hint="eastAsia"/>
          <w:highlight w:val="none"/>
        </w:rPr>
        <w:t>在整个任务期间具备和保持</w:t>
      </w:r>
      <w:r>
        <w:rPr>
          <w:rFonts w:hint="eastAsia"/>
          <w:highlight w:val="none"/>
          <w:lang w:eastAsia="zh-CN"/>
        </w:rPr>
        <w:t>团队人员能力，服务、信息、研究、方法、工具和网络等</w:t>
      </w:r>
      <w:r>
        <w:rPr>
          <w:rFonts w:hint="eastAsia"/>
          <w:highlight w:val="none"/>
        </w:rPr>
        <w:t>适当的能力</w:t>
      </w:r>
      <w:r>
        <w:rPr>
          <w:rFonts w:hint="eastAsia"/>
          <w:highlight w:val="none"/>
          <w:lang w:eastAsia="zh-CN"/>
        </w:rPr>
        <w:t>，</w:t>
      </w:r>
      <w:r>
        <w:rPr>
          <w:rFonts w:hint="eastAsia"/>
        </w:rPr>
        <w:t>见附录A。</w:t>
      </w:r>
    </w:p>
    <w:p>
      <w:pPr>
        <w:pStyle w:val="166"/>
        <w:rPr>
          <w:rFonts w:hint="eastAsia"/>
        </w:rPr>
      </w:pPr>
      <w:r>
        <w:rPr>
          <w:rFonts w:hint="eastAsia"/>
          <w:color w:val="auto"/>
          <w:lang w:eastAsia="zh-CN"/>
        </w:rPr>
        <w:t>管理咨询</w:t>
      </w:r>
      <w:r>
        <w:rPr>
          <w:rFonts w:hint="eastAsia"/>
          <w:color w:val="auto"/>
        </w:rPr>
        <w:t>服务提供方团</w:t>
      </w:r>
      <w:r>
        <w:rPr>
          <w:rFonts w:hint="eastAsia"/>
        </w:rPr>
        <w:t>队的构成，包括但不限于项目管理专家、供应链业务分析师、新一代信息技术专家；宜配置数字化供应链平台研发机构。</w:t>
      </w:r>
    </w:p>
    <w:p>
      <w:pPr>
        <w:pStyle w:val="166"/>
      </w:pPr>
      <w:r>
        <w:rPr>
          <w:rFonts w:hint="eastAsia"/>
        </w:rPr>
        <w:t>管理咨询服务提供方需建立持续优化的人才培养机制，确保团队的专业性和稳定性。</w:t>
      </w:r>
    </w:p>
    <w:p>
      <w:pPr>
        <w:pStyle w:val="106"/>
        <w:spacing w:before="120" w:after="120"/>
      </w:pPr>
      <w:bookmarkStart w:id="62" w:name="_Toc190187253"/>
      <w:r>
        <w:rPr>
          <w:rFonts w:hint="eastAsia"/>
        </w:rPr>
        <w:t>项目管控能力</w:t>
      </w:r>
      <w:bookmarkEnd w:id="62"/>
    </w:p>
    <w:p>
      <w:pPr>
        <w:pStyle w:val="57"/>
        <w:ind w:firstLine="420"/>
      </w:pPr>
      <w:r>
        <w:rPr>
          <w:rFonts w:hint="eastAsia"/>
        </w:rPr>
        <w:t>管理咨询服务提供方要具备项目管控能力，主要包括但不限于：</w:t>
      </w:r>
    </w:p>
    <w:p>
      <w:pPr>
        <w:pStyle w:val="175"/>
        <w:rPr>
          <w:rFonts w:hint="eastAsia"/>
        </w:rPr>
      </w:pPr>
      <w:r>
        <w:rPr>
          <w:rFonts w:hint="eastAsia"/>
        </w:rPr>
        <w:t>建立完善的管理咨询服务管理体系，包括相应的制度、流程、评价措施等，建立服务质量保障措施，配备所需的人力、物质、技术等资源；</w:t>
      </w:r>
    </w:p>
    <w:p>
      <w:pPr>
        <w:pStyle w:val="175"/>
        <w:rPr>
          <w:rFonts w:hint="eastAsia"/>
        </w:rPr>
      </w:pPr>
      <w:r>
        <w:rPr>
          <w:rFonts w:hint="eastAsia"/>
        </w:rPr>
        <w:t>合理确定数字化供应链管理咨询的目标、范围、所需的资源、时间进度、交付成果；</w:t>
      </w:r>
    </w:p>
    <w:p>
      <w:pPr>
        <w:pStyle w:val="175"/>
        <w:rPr>
          <w:rFonts w:hint="eastAsia"/>
        </w:rPr>
      </w:pPr>
      <w:r>
        <w:rPr>
          <w:rFonts w:hint="eastAsia"/>
        </w:rPr>
        <w:t>建立数字化供应链管理咨询的多项目协同管理机制，对项目质量、进度等进行总体管控；建立全过程质量管控机制，明确阶段性目标，对项目进度和阶段性交付成果进行监控，并得到</w:t>
      </w:r>
      <w:r>
        <w:rPr>
          <w:rFonts w:hint="eastAsia"/>
          <w:color w:val="auto"/>
          <w:lang w:eastAsia="zh-CN"/>
        </w:rPr>
        <w:t>利益</w:t>
      </w:r>
      <w:r>
        <w:rPr>
          <w:rFonts w:hint="eastAsia"/>
          <w:color w:val="auto"/>
        </w:rPr>
        <w:t>相</w:t>
      </w:r>
      <w:r>
        <w:rPr>
          <w:rFonts w:hint="eastAsia"/>
        </w:rPr>
        <w:t>关方的验收确认；</w:t>
      </w:r>
    </w:p>
    <w:p>
      <w:pPr>
        <w:pStyle w:val="175"/>
        <w:rPr>
          <w:rFonts w:hint="eastAsia"/>
        </w:rPr>
      </w:pPr>
      <w:r>
        <w:rPr>
          <w:rFonts w:hint="eastAsia"/>
        </w:rPr>
        <w:t>建立完善风险管控机制，对项目执行过程中的不确定性风险进行有效的识别、评估、防范和控制。</w:t>
      </w:r>
    </w:p>
    <w:p>
      <w:pPr>
        <w:pStyle w:val="175"/>
        <w:rPr>
          <w:rFonts w:hint="eastAsia"/>
        </w:rPr>
      </w:pPr>
      <w:r>
        <w:rPr>
          <w:rFonts w:hint="eastAsia"/>
        </w:rPr>
        <w:t>创新项目管理方法和工具，应用信息化平台，提高项目管理规范性、可操作性和项目执行效率；</w:t>
      </w:r>
    </w:p>
    <w:p>
      <w:pPr>
        <w:pStyle w:val="175"/>
      </w:pPr>
      <w:r>
        <w:rPr>
          <w:rFonts w:hint="eastAsia"/>
        </w:rPr>
        <w:t>建立关于遵循法律法规的要求、保密承诺和客户知识产权保护等方面的规则。</w:t>
      </w:r>
    </w:p>
    <w:p>
      <w:pPr>
        <w:pStyle w:val="106"/>
        <w:spacing w:before="120" w:after="120"/>
        <w:rPr>
          <w:rFonts w:hint="eastAsia"/>
        </w:rPr>
      </w:pPr>
      <w:bookmarkStart w:id="63" w:name="_Toc190187254"/>
      <w:r>
        <w:rPr>
          <w:rFonts w:hint="eastAsia"/>
        </w:rPr>
        <w:t>知识开发能力</w:t>
      </w:r>
      <w:bookmarkEnd w:id="63"/>
    </w:p>
    <w:p>
      <w:pPr>
        <w:pStyle w:val="57"/>
        <w:ind w:firstLine="420"/>
      </w:pPr>
      <w:r>
        <w:rPr>
          <w:rFonts w:hint="eastAsia"/>
        </w:rPr>
        <w:t>管理咨询服务提供方要建立知识开发和方法创新机制，形成方法论，主要包括但不限于：</w:t>
      </w:r>
    </w:p>
    <w:p>
      <w:pPr>
        <w:pStyle w:val="175"/>
        <w:numPr>
          <w:ilvl w:val="0"/>
          <w:numId w:val="32"/>
        </w:numPr>
        <w:rPr>
          <w:rFonts w:hint="eastAsia"/>
        </w:rPr>
      </w:pPr>
      <w:r>
        <w:rPr>
          <w:rFonts w:hint="eastAsia"/>
        </w:rPr>
        <w:t>配备知识管理的专业人员，建立完善的知识开发和共享制度及流程；</w:t>
      </w:r>
    </w:p>
    <w:p>
      <w:pPr>
        <w:pStyle w:val="175"/>
        <w:numPr>
          <w:ilvl w:val="0"/>
          <w:numId w:val="32"/>
        </w:numPr>
        <w:rPr>
          <w:rFonts w:hint="eastAsia"/>
        </w:rPr>
      </w:pPr>
      <w:r>
        <w:rPr>
          <w:rFonts w:hint="eastAsia"/>
        </w:rPr>
        <w:t>建立数字化供应链管理咨询的知识库、案例库、知识服务平台；</w:t>
      </w:r>
    </w:p>
    <w:p>
      <w:pPr>
        <w:pStyle w:val="175"/>
        <w:numPr>
          <w:ilvl w:val="0"/>
          <w:numId w:val="32"/>
        </w:numPr>
      </w:pPr>
      <w:r>
        <w:rPr>
          <w:rFonts w:hint="eastAsia"/>
        </w:rPr>
        <w:t>推动跨领域知识融合和知识创新，形成可复用、可推广的方法。</w:t>
      </w:r>
    </w:p>
    <w:p>
      <w:pPr>
        <w:pStyle w:val="105"/>
        <w:spacing w:before="240" w:after="240"/>
      </w:pPr>
      <w:bookmarkStart w:id="64" w:name="_Toc190187255"/>
      <w:bookmarkStart w:id="65" w:name="_Toc190187289"/>
      <w:r>
        <w:rPr>
          <w:rFonts w:hint="eastAsia"/>
        </w:rPr>
        <w:t>服务内容和服务流程</w:t>
      </w:r>
      <w:bookmarkEnd w:id="64"/>
      <w:bookmarkEnd w:id="65"/>
    </w:p>
    <w:p>
      <w:pPr>
        <w:pStyle w:val="106"/>
        <w:spacing w:before="120" w:after="120"/>
      </w:pPr>
      <w:bookmarkStart w:id="66" w:name="_Toc190187256"/>
      <w:r>
        <w:rPr>
          <w:rFonts w:hint="eastAsia"/>
        </w:rPr>
        <w:t>数字化供应链管理咨询服务内容</w:t>
      </w:r>
      <w:bookmarkEnd w:id="66"/>
    </w:p>
    <w:p>
      <w:pPr>
        <w:pStyle w:val="57"/>
        <w:ind w:firstLine="420"/>
        <w:rPr>
          <w:rFonts w:hint="eastAsia"/>
        </w:rPr>
      </w:pPr>
      <w:r>
        <w:rPr>
          <w:rFonts w:hint="eastAsia"/>
        </w:rPr>
        <w:t>数字化供应链管理咨询服务内容由管理咨询服务提供方和客户洽谈后签订在合同中。可参考的服务内容框架，见表1。</w:t>
      </w:r>
    </w:p>
    <w:p>
      <w:pPr>
        <w:pStyle w:val="113"/>
        <w:spacing w:before="120" w:after="120"/>
        <w:rPr>
          <w:rFonts w:hint="eastAsia"/>
        </w:rPr>
      </w:pPr>
      <w:r>
        <w:rPr>
          <w:rFonts w:hint="eastAsia"/>
        </w:rPr>
        <w:t>数字化供应链管理咨询服务框架表</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10"/>
        <w:gridCol w:w="3112"/>
        <w:gridCol w:w="3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10" w:type="dxa"/>
            <w:tcBorders>
              <w:top w:val="single" w:color="auto" w:sz="8" w:space="0"/>
              <w:bottom w:val="single" w:color="auto" w:sz="8" w:space="0"/>
            </w:tcBorders>
            <w:shd w:val="clear" w:color="auto" w:fill="auto"/>
            <w:vAlign w:val="center"/>
          </w:tcPr>
          <w:p>
            <w:pPr>
              <w:pStyle w:val="179"/>
              <w:rPr>
                <w:rFonts w:hint="eastAsia" w:hAnsi="宋体"/>
                <w:szCs w:val="18"/>
              </w:rPr>
            </w:pPr>
            <w:r>
              <w:rPr>
                <w:rFonts w:hint="eastAsia" w:hAnsi="宋体"/>
                <w:szCs w:val="18"/>
              </w:rPr>
              <w:t>阶段</w:t>
            </w:r>
          </w:p>
        </w:tc>
        <w:tc>
          <w:tcPr>
            <w:tcW w:w="3112" w:type="dxa"/>
            <w:tcBorders>
              <w:top w:val="single" w:color="auto" w:sz="8" w:space="0"/>
              <w:bottom w:val="single" w:color="auto" w:sz="8" w:space="0"/>
            </w:tcBorders>
            <w:shd w:val="clear" w:color="auto" w:fill="auto"/>
            <w:vAlign w:val="center"/>
          </w:tcPr>
          <w:p>
            <w:pPr>
              <w:pStyle w:val="179"/>
              <w:rPr>
                <w:rFonts w:hint="eastAsia" w:hAnsi="宋体"/>
                <w:szCs w:val="18"/>
              </w:rPr>
            </w:pPr>
            <w:r>
              <w:rPr>
                <w:rFonts w:hint="eastAsia" w:hAnsi="宋体"/>
                <w:szCs w:val="18"/>
              </w:rPr>
              <w:t>服务内容</w:t>
            </w:r>
          </w:p>
        </w:tc>
        <w:tc>
          <w:tcPr>
            <w:tcW w:w="3112" w:type="dxa"/>
            <w:tcBorders>
              <w:top w:val="single" w:color="auto" w:sz="8" w:space="0"/>
              <w:bottom w:val="single" w:color="auto" w:sz="8" w:space="0"/>
            </w:tcBorders>
            <w:shd w:val="clear" w:color="auto" w:fill="auto"/>
            <w:vAlign w:val="center"/>
          </w:tcPr>
          <w:p>
            <w:pPr>
              <w:pStyle w:val="179"/>
              <w:rPr>
                <w:rFonts w:hint="eastAsia" w:hAnsi="宋体"/>
                <w:szCs w:val="18"/>
              </w:rPr>
            </w:pPr>
            <w:r>
              <w:rPr>
                <w:rFonts w:hint="eastAsia" w:hAnsi="宋体"/>
                <w:szCs w:val="18"/>
              </w:rPr>
              <w:t>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tcBorders>
              <w:top w:val="single" w:color="auto" w:sz="8" w:space="0"/>
            </w:tcBorders>
            <w:shd w:val="clear" w:color="auto" w:fill="auto"/>
            <w:vAlign w:val="center"/>
          </w:tcPr>
          <w:p>
            <w:pPr>
              <w:pStyle w:val="179"/>
              <w:rPr>
                <w:rFonts w:hint="eastAsia" w:hAnsi="宋体"/>
                <w:szCs w:val="18"/>
              </w:rPr>
            </w:pPr>
            <w:r>
              <w:rPr>
                <w:rFonts w:hint="eastAsia" w:hAnsi="宋体"/>
                <w:szCs w:val="18"/>
              </w:rPr>
              <w:t>需求分析</w:t>
            </w:r>
          </w:p>
        </w:tc>
        <w:tc>
          <w:tcPr>
            <w:tcW w:w="3112" w:type="dxa"/>
            <w:tcBorders>
              <w:top w:val="single" w:color="auto" w:sz="8" w:space="0"/>
            </w:tcBorders>
            <w:shd w:val="clear" w:color="auto" w:fill="auto"/>
            <w:vAlign w:val="center"/>
          </w:tcPr>
          <w:p>
            <w:pPr>
              <w:pStyle w:val="2"/>
              <w:wordWrap/>
              <w:spacing w:before="0" w:after="0" w:afterAutospacing="0"/>
              <w:rPr>
                <w:rFonts w:ascii="宋体" w:hAnsi="宋体"/>
                <w:sz w:val="18"/>
                <w:szCs w:val="18"/>
              </w:rPr>
            </w:pPr>
            <w:r>
              <w:rPr>
                <w:rFonts w:hint="eastAsia" w:ascii="宋体" w:hAnsi="宋体"/>
                <w:sz w:val="18"/>
                <w:szCs w:val="18"/>
              </w:rPr>
              <w:t>评估当前供应链状况</w:t>
            </w:r>
          </w:p>
          <w:p>
            <w:pPr>
              <w:pStyle w:val="2"/>
              <w:wordWrap/>
              <w:spacing w:before="0" w:after="0" w:afterAutospacing="0"/>
              <w:rPr>
                <w:rFonts w:hint="eastAsia" w:ascii="宋体" w:hAnsi="宋体"/>
                <w:sz w:val="18"/>
                <w:szCs w:val="18"/>
              </w:rPr>
            </w:pPr>
            <w:r>
              <w:rPr>
                <w:rFonts w:hint="eastAsia" w:ascii="宋体" w:hAnsi="宋体"/>
                <w:sz w:val="18"/>
                <w:szCs w:val="18"/>
              </w:rPr>
              <w:t>确定业务需求与目标</w:t>
            </w:r>
          </w:p>
          <w:p>
            <w:pPr>
              <w:pStyle w:val="179"/>
              <w:jc w:val="both"/>
              <w:rPr>
                <w:rFonts w:hint="eastAsia" w:hAnsi="宋体"/>
                <w:szCs w:val="18"/>
              </w:rPr>
            </w:pPr>
            <w:r>
              <w:rPr>
                <w:rFonts w:hint="eastAsia" w:hAnsi="宋体"/>
                <w:szCs w:val="18"/>
              </w:rPr>
              <w:t>识别痛点与挑战</w:t>
            </w:r>
          </w:p>
        </w:tc>
        <w:tc>
          <w:tcPr>
            <w:tcW w:w="3112" w:type="dxa"/>
            <w:tcBorders>
              <w:top w:val="single" w:color="auto" w:sz="8" w:space="0"/>
            </w:tcBorders>
            <w:shd w:val="clear" w:color="auto" w:fill="auto"/>
            <w:vAlign w:val="center"/>
          </w:tcPr>
          <w:p>
            <w:pPr>
              <w:pStyle w:val="2"/>
              <w:wordWrap/>
              <w:spacing w:before="0" w:after="0" w:afterAutospacing="0"/>
              <w:rPr>
                <w:rFonts w:hint="eastAsia" w:ascii="宋体" w:hAnsi="宋体"/>
                <w:sz w:val="18"/>
                <w:szCs w:val="18"/>
              </w:rPr>
            </w:pPr>
            <w:r>
              <w:rPr>
                <w:rFonts w:hint="eastAsia" w:ascii="宋体" w:hAnsi="宋体"/>
                <w:sz w:val="18"/>
                <w:szCs w:val="18"/>
              </w:rPr>
              <w:t>明确客户需求</w:t>
            </w:r>
          </w:p>
          <w:p>
            <w:pPr>
              <w:pStyle w:val="2"/>
              <w:wordWrap/>
              <w:spacing w:before="0" w:after="0" w:afterAutospacing="0"/>
              <w:rPr>
                <w:rFonts w:hint="eastAsia" w:ascii="宋体" w:hAnsi="宋体"/>
                <w:sz w:val="18"/>
                <w:szCs w:val="18"/>
              </w:rPr>
            </w:pPr>
            <w:r>
              <w:rPr>
                <w:rFonts w:hint="eastAsia" w:ascii="宋体" w:hAnsi="宋体"/>
                <w:sz w:val="18"/>
                <w:szCs w:val="18"/>
              </w:rPr>
              <w:t>设定可量化的目标</w:t>
            </w:r>
          </w:p>
          <w:p>
            <w:pPr>
              <w:pStyle w:val="179"/>
              <w:jc w:val="both"/>
              <w:rPr>
                <w:rFonts w:hint="eastAsia" w:hAnsi="宋体"/>
                <w:szCs w:val="18"/>
              </w:rPr>
            </w:pPr>
            <w:r>
              <w:rPr>
                <w:rFonts w:hint="eastAsia" w:hAnsi="宋体"/>
                <w:szCs w:val="18"/>
              </w:rPr>
              <w:t xml:space="preserve">识别关键改进领域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pPr>
              <w:pStyle w:val="179"/>
              <w:rPr>
                <w:rFonts w:hint="eastAsia" w:hAnsi="宋体"/>
                <w:szCs w:val="18"/>
              </w:rPr>
            </w:pPr>
            <w:r>
              <w:rPr>
                <w:rFonts w:hint="eastAsia" w:hAnsi="宋体"/>
                <w:szCs w:val="18"/>
              </w:rPr>
              <w:t>战略规划</w:t>
            </w:r>
          </w:p>
        </w:tc>
        <w:tc>
          <w:tcPr>
            <w:tcW w:w="3112" w:type="dxa"/>
            <w:shd w:val="clear" w:color="auto" w:fill="auto"/>
            <w:vAlign w:val="center"/>
          </w:tcPr>
          <w:p>
            <w:pPr>
              <w:pStyle w:val="2"/>
              <w:wordWrap/>
              <w:spacing w:before="0" w:after="0" w:afterAutospacing="0"/>
              <w:rPr>
                <w:rFonts w:hint="eastAsia" w:ascii="宋体" w:hAnsi="宋体"/>
                <w:sz w:val="18"/>
                <w:szCs w:val="18"/>
              </w:rPr>
            </w:pPr>
            <w:r>
              <w:rPr>
                <w:rFonts w:hint="eastAsia" w:ascii="宋体" w:hAnsi="宋体"/>
                <w:sz w:val="18"/>
                <w:szCs w:val="18"/>
              </w:rPr>
              <w:t>制定数字化供应链战略</w:t>
            </w:r>
          </w:p>
          <w:p>
            <w:pPr>
              <w:pStyle w:val="2"/>
              <w:wordWrap/>
              <w:spacing w:before="0" w:after="0" w:afterAutospacing="0"/>
              <w:rPr>
                <w:rFonts w:hint="eastAsia" w:ascii="宋体" w:hAnsi="宋体"/>
                <w:sz w:val="18"/>
                <w:szCs w:val="18"/>
              </w:rPr>
            </w:pPr>
            <w:r>
              <w:rPr>
                <w:rFonts w:hint="eastAsia" w:ascii="宋体" w:hAnsi="宋体"/>
                <w:sz w:val="18"/>
                <w:szCs w:val="18"/>
              </w:rPr>
              <w:t>确定技术路线图</w:t>
            </w:r>
          </w:p>
          <w:p>
            <w:pPr>
              <w:pStyle w:val="2"/>
              <w:wordWrap/>
              <w:spacing w:before="0" w:after="0" w:afterAutospacing="0"/>
              <w:rPr>
                <w:rFonts w:hint="eastAsia" w:ascii="宋体" w:hAnsi="宋体"/>
                <w:sz w:val="18"/>
                <w:szCs w:val="18"/>
              </w:rPr>
            </w:pPr>
            <w:r>
              <w:rPr>
                <w:rFonts w:hint="eastAsia" w:ascii="宋体" w:hAnsi="宋体"/>
                <w:sz w:val="18"/>
                <w:szCs w:val="18"/>
              </w:rPr>
              <w:t>设计实施路径和业务流程</w:t>
            </w:r>
          </w:p>
          <w:p>
            <w:pPr>
              <w:pStyle w:val="179"/>
              <w:jc w:val="both"/>
              <w:rPr>
                <w:rFonts w:hint="eastAsia" w:hAnsi="宋体"/>
                <w:szCs w:val="18"/>
              </w:rPr>
            </w:pPr>
            <w:r>
              <w:rPr>
                <w:rFonts w:hint="eastAsia" w:hAnsi="宋体"/>
                <w:szCs w:val="18"/>
              </w:rPr>
              <w:t>给出数字化供应链体系架构</w:t>
            </w:r>
          </w:p>
        </w:tc>
        <w:tc>
          <w:tcPr>
            <w:tcW w:w="3112" w:type="dxa"/>
            <w:shd w:val="clear" w:color="auto" w:fill="auto"/>
            <w:vAlign w:val="center"/>
          </w:tcPr>
          <w:p>
            <w:pPr>
              <w:pStyle w:val="2"/>
              <w:wordWrap/>
              <w:spacing w:before="0" w:after="0" w:afterAutospacing="0"/>
              <w:rPr>
                <w:rFonts w:hint="eastAsia" w:ascii="宋体" w:hAnsi="宋体"/>
                <w:sz w:val="18"/>
                <w:szCs w:val="18"/>
              </w:rPr>
            </w:pPr>
            <w:r>
              <w:rPr>
                <w:rFonts w:hint="eastAsia" w:ascii="宋体" w:hAnsi="宋体"/>
                <w:sz w:val="18"/>
                <w:szCs w:val="18"/>
              </w:rPr>
              <w:t>提供清晰的转型蓝图</w:t>
            </w:r>
          </w:p>
          <w:p>
            <w:pPr>
              <w:pStyle w:val="2"/>
              <w:wordWrap/>
              <w:spacing w:before="0" w:after="0" w:afterAutospacing="0"/>
              <w:rPr>
                <w:rFonts w:hint="eastAsia" w:ascii="宋体" w:hAnsi="宋体"/>
                <w:sz w:val="18"/>
                <w:szCs w:val="18"/>
              </w:rPr>
            </w:pPr>
            <w:r>
              <w:rPr>
                <w:rFonts w:hint="eastAsia" w:ascii="宋体" w:hAnsi="宋体"/>
                <w:sz w:val="18"/>
                <w:szCs w:val="18"/>
              </w:rPr>
              <w:t>确保战略与业务目标一致</w:t>
            </w:r>
          </w:p>
          <w:p>
            <w:pPr>
              <w:pStyle w:val="179"/>
              <w:jc w:val="both"/>
              <w:rPr>
                <w:rFonts w:hint="eastAsia" w:hAnsi="宋体"/>
                <w:szCs w:val="18"/>
              </w:rPr>
            </w:pPr>
            <w:r>
              <w:rPr>
                <w:rFonts w:hint="eastAsia" w:hAnsi="宋体"/>
                <w:szCs w:val="18"/>
              </w:rPr>
              <w:t>规划阶段性目标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110" w:type="dxa"/>
            <w:shd w:val="clear" w:color="auto" w:fill="auto"/>
            <w:vAlign w:val="center"/>
          </w:tcPr>
          <w:p>
            <w:pPr>
              <w:pStyle w:val="179"/>
              <w:rPr>
                <w:rFonts w:hint="eastAsia" w:hAnsi="宋体"/>
                <w:szCs w:val="18"/>
              </w:rPr>
            </w:pPr>
            <w:r>
              <w:rPr>
                <w:rFonts w:hint="eastAsia" w:hAnsi="宋体"/>
                <w:szCs w:val="18"/>
              </w:rPr>
              <w:t>技术选型</w:t>
            </w:r>
          </w:p>
        </w:tc>
        <w:tc>
          <w:tcPr>
            <w:tcW w:w="3112" w:type="dxa"/>
            <w:shd w:val="clear" w:color="auto" w:fill="auto"/>
            <w:vAlign w:val="center"/>
          </w:tcPr>
          <w:p>
            <w:pPr>
              <w:pStyle w:val="2"/>
              <w:wordWrap/>
              <w:spacing w:before="0" w:after="0" w:afterAutospacing="0"/>
              <w:rPr>
                <w:rFonts w:hint="eastAsia" w:ascii="宋体" w:hAnsi="宋体"/>
                <w:sz w:val="18"/>
                <w:szCs w:val="18"/>
              </w:rPr>
            </w:pPr>
            <w:r>
              <w:rPr>
                <w:rFonts w:hint="eastAsia" w:ascii="宋体" w:hAnsi="宋体"/>
                <w:sz w:val="18"/>
                <w:szCs w:val="18"/>
              </w:rPr>
              <w:t>评估并选择适合的数字化工具与平台</w:t>
            </w:r>
          </w:p>
          <w:p>
            <w:pPr>
              <w:pStyle w:val="179"/>
              <w:jc w:val="both"/>
              <w:rPr>
                <w:rFonts w:hint="eastAsia" w:hAnsi="宋体"/>
                <w:szCs w:val="18"/>
              </w:rPr>
            </w:pPr>
            <w:r>
              <w:rPr>
                <w:rFonts w:hint="eastAsia" w:hAnsi="宋体"/>
                <w:szCs w:val="18"/>
              </w:rPr>
              <w:t xml:space="preserve">确定系统集成方案 </w:t>
            </w:r>
          </w:p>
        </w:tc>
        <w:tc>
          <w:tcPr>
            <w:tcW w:w="3112" w:type="dxa"/>
            <w:shd w:val="clear" w:color="auto" w:fill="auto"/>
            <w:vAlign w:val="center"/>
          </w:tcPr>
          <w:p>
            <w:pPr>
              <w:pStyle w:val="2"/>
              <w:wordWrap/>
              <w:spacing w:before="0" w:after="0" w:afterAutospacing="0"/>
              <w:rPr>
                <w:rFonts w:hint="eastAsia" w:ascii="宋体" w:hAnsi="宋体"/>
                <w:sz w:val="18"/>
                <w:szCs w:val="18"/>
              </w:rPr>
            </w:pPr>
            <w:r>
              <w:rPr>
                <w:rFonts w:hint="eastAsia" w:ascii="宋体" w:hAnsi="宋体"/>
                <w:sz w:val="18"/>
                <w:szCs w:val="18"/>
              </w:rPr>
              <w:t>选择最佳技术解决方案</w:t>
            </w:r>
          </w:p>
          <w:p>
            <w:pPr>
              <w:pStyle w:val="179"/>
              <w:jc w:val="both"/>
              <w:rPr>
                <w:rFonts w:hint="eastAsia" w:hAnsi="宋体"/>
                <w:szCs w:val="18"/>
              </w:rPr>
            </w:pPr>
            <w:r>
              <w:rPr>
                <w:rFonts w:hint="eastAsia" w:hAnsi="宋体"/>
                <w:szCs w:val="18"/>
              </w:rPr>
              <w:t xml:space="preserve">确保系统兼容性与扩展性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pPr>
              <w:pStyle w:val="179"/>
              <w:ind w:firstLine="0" w:firstLineChars="0"/>
              <w:rPr>
                <w:rFonts w:hint="eastAsia" w:ascii="宋体" w:hAnsi="宋体" w:eastAsia="宋体" w:cs="Times New Roman"/>
                <w:sz w:val="18"/>
                <w:szCs w:val="18"/>
                <w:highlight w:val="none"/>
                <w:lang w:val="en-US" w:eastAsia="zh-CN" w:bidi="ar-SA"/>
              </w:rPr>
            </w:pPr>
            <w:r>
              <w:rPr>
                <w:rFonts w:hint="eastAsia" w:hAnsi="宋体"/>
                <w:szCs w:val="18"/>
                <w:highlight w:val="none"/>
              </w:rPr>
              <w:t>实施与部署</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实施选定的技术解决方案</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配置系统参数</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 xml:space="preserve">进行数据迁移与集成 </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确保系统顺利上线</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最小化对日常运营的影响</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实现数据无缝对接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pPr>
              <w:pStyle w:val="179"/>
              <w:ind w:firstLine="0" w:firstLineChars="0"/>
              <w:rPr>
                <w:rFonts w:hint="eastAsia" w:ascii="宋体" w:hAnsi="宋体" w:eastAsia="宋体" w:cs="Times New Roman"/>
                <w:sz w:val="18"/>
                <w:szCs w:val="18"/>
                <w:highlight w:val="none"/>
                <w:lang w:val="en-US" w:eastAsia="zh-CN" w:bidi="ar-SA"/>
              </w:rPr>
            </w:pPr>
            <w:r>
              <w:rPr>
                <w:rFonts w:hint="eastAsia" w:hAnsi="宋体"/>
                <w:szCs w:val="18"/>
                <w:highlight w:val="none"/>
              </w:rPr>
              <w:t>培训与支持</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提供用户培训</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编写用户手册与操作指南</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 xml:space="preserve">建立技术支持体系 </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提升接受方技能水平</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确保系统有效使用</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提供持续的技术支持服务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pPr>
              <w:pStyle w:val="179"/>
              <w:ind w:firstLine="0" w:firstLineChars="0"/>
              <w:rPr>
                <w:rFonts w:hint="eastAsia" w:ascii="宋体" w:hAnsi="宋体" w:eastAsia="宋体" w:cs="Times New Roman"/>
                <w:sz w:val="18"/>
                <w:szCs w:val="18"/>
                <w:highlight w:val="none"/>
                <w:lang w:val="en-US" w:eastAsia="zh-CN" w:bidi="ar-SA"/>
              </w:rPr>
            </w:pPr>
            <w:r>
              <w:rPr>
                <w:rFonts w:hint="eastAsia" w:hAnsi="宋体"/>
                <w:szCs w:val="18"/>
                <w:highlight w:val="none"/>
              </w:rPr>
              <w:t>监控与优化</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监控系统性能</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收集用户反馈</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定期评估系统效果</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 xml:space="preserve">进行必要的调整与优化 </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确保系统稳定运行</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持续改进系统性能</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适应业务变化需求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110" w:type="dxa"/>
            <w:shd w:val="clear" w:color="auto" w:fill="auto"/>
            <w:vAlign w:val="center"/>
          </w:tcPr>
          <w:p>
            <w:pPr>
              <w:pStyle w:val="179"/>
              <w:ind w:firstLine="0" w:firstLineChars="0"/>
              <w:rPr>
                <w:rFonts w:hint="eastAsia" w:ascii="宋体" w:hAnsi="宋体" w:eastAsia="宋体" w:cs="Times New Roman"/>
                <w:sz w:val="18"/>
                <w:szCs w:val="18"/>
                <w:highlight w:val="none"/>
                <w:lang w:val="en-US" w:eastAsia="zh-CN" w:bidi="ar-SA"/>
              </w:rPr>
            </w:pPr>
            <w:r>
              <w:rPr>
                <w:rFonts w:hint="eastAsia" w:hAnsi="宋体"/>
                <w:szCs w:val="18"/>
                <w:highlight w:val="none"/>
              </w:rPr>
              <w:t>风险管理</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识别潜在风险</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制定风险应对策略</w:t>
            </w:r>
          </w:p>
          <w:p>
            <w:pPr>
              <w:pStyle w:val="2"/>
              <w:wordWrap/>
              <w:spacing w:before="0" w:after="0" w:afterAutospacing="0"/>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rPr>
              <w:t xml:space="preserve">实施风险监控机制 </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降低项目实施风险</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确保供应链连续性</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 xml:space="preserve">提高抗风险能力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pPr>
              <w:pStyle w:val="179"/>
              <w:ind w:firstLine="0" w:firstLineChars="0"/>
              <w:rPr>
                <w:rFonts w:hint="eastAsia" w:ascii="宋体" w:hAnsi="宋体" w:eastAsia="宋体" w:cs="Times New Roman"/>
                <w:sz w:val="18"/>
                <w:szCs w:val="18"/>
                <w:highlight w:val="none"/>
                <w:lang w:val="en-US" w:eastAsia="zh-CN" w:bidi="ar-SA"/>
              </w:rPr>
            </w:pPr>
            <w:r>
              <w:rPr>
                <w:rFonts w:hint="eastAsia" w:hAnsi="宋体"/>
                <w:szCs w:val="18"/>
                <w:highlight w:val="none"/>
              </w:rPr>
              <w:t>绩效评估</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设定关键绩效指标</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定期评估数字化转型成效</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 xml:space="preserve">调整优化策略 </w:t>
            </w:r>
            <w:r>
              <w:rPr>
                <w:rFonts w:hAnsi="宋体" w:cs="Arial"/>
                <w:szCs w:val="18"/>
                <w:highlight w:val="none"/>
              </w:rPr>
              <w:t xml:space="preserve"> </w:t>
            </w:r>
          </w:p>
        </w:tc>
        <w:tc>
          <w:tcPr>
            <w:tcW w:w="3112" w:type="dxa"/>
            <w:shd w:val="clear" w:color="auto" w:fill="auto"/>
            <w:vAlign w:val="center"/>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量化转型成果</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确保投资回报率</w:t>
            </w:r>
          </w:p>
          <w:p>
            <w:pPr>
              <w:pStyle w:val="179"/>
              <w:ind w:firstLine="0" w:firstLineChars="0"/>
              <w:jc w:val="both"/>
              <w:rPr>
                <w:rFonts w:hint="eastAsia" w:ascii="宋体" w:hAnsi="宋体" w:eastAsia="宋体" w:cs="Times New Roman"/>
                <w:sz w:val="18"/>
                <w:szCs w:val="18"/>
                <w:highlight w:val="none"/>
                <w:lang w:val="en-US" w:eastAsia="zh-CN" w:bidi="ar-SA"/>
              </w:rPr>
            </w:pPr>
            <w:r>
              <w:rPr>
                <w:rFonts w:hint="eastAsia" w:hAnsi="宋体"/>
                <w:szCs w:val="18"/>
                <w:highlight w:val="none"/>
              </w:rPr>
              <w:t>指导未来决策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shd w:val="clear" w:color="auto" w:fill="auto"/>
            <w:vAlign w:val="center"/>
          </w:tcPr>
          <w:p>
            <w:pPr>
              <w:pStyle w:val="179"/>
              <w:ind w:firstLine="0" w:firstLineChars="0"/>
              <w:rPr>
                <w:rFonts w:hint="eastAsia" w:ascii="宋体" w:hAnsi="宋体" w:eastAsia="宋体" w:cs="Times New Roman"/>
                <w:sz w:val="18"/>
                <w:szCs w:val="18"/>
                <w:highlight w:val="none"/>
                <w:lang w:val="en-US" w:eastAsia="zh-CN" w:bidi="ar-SA"/>
              </w:rPr>
            </w:pPr>
            <w:r>
              <w:rPr>
                <w:rFonts w:hint="eastAsia" w:hAnsi="宋体"/>
                <w:szCs w:val="18"/>
                <w:highlight w:val="none"/>
              </w:rPr>
              <w:t>持续改进</w:t>
            </w:r>
          </w:p>
        </w:tc>
        <w:tc>
          <w:tcPr>
            <w:tcW w:w="3112" w:type="dxa"/>
            <w:shd w:val="clear" w:color="auto" w:fill="auto"/>
            <w:vAlign w:val="top"/>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建立持续改进机制</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鼓励创新思维</w:t>
            </w:r>
          </w:p>
          <w:p>
            <w:pPr>
              <w:pStyle w:val="2"/>
              <w:wordWrap/>
              <w:spacing w:before="0" w:after="0" w:afterAutospacing="0"/>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rPr>
              <w:t xml:space="preserve">跟踪最新技术趋势 </w:t>
            </w:r>
          </w:p>
        </w:tc>
        <w:tc>
          <w:tcPr>
            <w:tcW w:w="3112" w:type="dxa"/>
            <w:shd w:val="clear" w:color="auto" w:fill="auto"/>
            <w:vAlign w:val="top"/>
          </w:tcPr>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推动供应链不断创新</w:t>
            </w:r>
          </w:p>
          <w:p>
            <w:pPr>
              <w:pStyle w:val="2"/>
              <w:wordWrap/>
              <w:spacing w:before="0" w:after="0" w:afterAutospacing="0"/>
              <w:rPr>
                <w:rFonts w:hint="eastAsia" w:ascii="宋体" w:hAnsi="宋体"/>
                <w:sz w:val="18"/>
                <w:szCs w:val="18"/>
                <w:highlight w:val="none"/>
              </w:rPr>
            </w:pPr>
            <w:r>
              <w:rPr>
                <w:rFonts w:hint="eastAsia" w:ascii="宋体" w:hAnsi="宋体"/>
                <w:sz w:val="18"/>
                <w:szCs w:val="18"/>
                <w:highlight w:val="none"/>
              </w:rPr>
              <w:t>保持技术领先优势</w:t>
            </w:r>
          </w:p>
          <w:p>
            <w:pPr>
              <w:pStyle w:val="2"/>
              <w:wordWrap/>
              <w:spacing w:before="0" w:after="0" w:afterAutospacing="0"/>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rPr>
              <w:t>适应市场变化</w:t>
            </w:r>
          </w:p>
        </w:tc>
      </w:tr>
    </w:tbl>
    <w:p>
      <w:pPr>
        <w:pStyle w:val="106"/>
        <w:spacing w:before="120" w:after="120"/>
      </w:pPr>
      <w:bookmarkStart w:id="67" w:name="_Toc190187257"/>
      <w:r>
        <w:rPr>
          <w:rFonts w:hint="eastAsia"/>
        </w:rPr>
        <w:t>服务流程</w:t>
      </w:r>
      <w:bookmarkEnd w:id="67"/>
    </w:p>
    <w:p>
      <w:pPr>
        <w:pStyle w:val="66"/>
        <w:spacing w:before="120" w:after="120"/>
      </w:pPr>
      <w:r>
        <w:rPr>
          <w:rFonts w:hint="eastAsia"/>
          <w:strike w:val="0"/>
          <w:dstrike w:val="0"/>
          <w:color w:val="auto"/>
          <w:lang w:eastAsia="zh-CN"/>
        </w:rPr>
        <w:t>业务</w:t>
      </w:r>
      <w:r>
        <w:rPr>
          <w:rFonts w:hint="eastAsia"/>
        </w:rPr>
        <w:t>洽谈</w:t>
      </w:r>
    </w:p>
    <w:p>
      <w:pPr>
        <w:pStyle w:val="57"/>
        <w:ind w:firstLine="420"/>
        <w:rPr>
          <w:rFonts w:hint="eastAsia"/>
        </w:rPr>
      </w:pPr>
      <w:r>
        <w:rPr>
          <w:rFonts w:hint="eastAsia"/>
        </w:rPr>
        <w:t>管理咨询服务提供方通过各种市场开发的方法，获取意向信息，确定有引入数字化供应链管理咨询服务需求的客户，并展开洽谈。业务洽谈包括但不限于：</w:t>
      </w:r>
    </w:p>
    <w:p>
      <w:pPr>
        <w:pStyle w:val="175"/>
        <w:numPr>
          <w:ilvl w:val="0"/>
          <w:numId w:val="33"/>
        </w:numPr>
        <w:rPr>
          <w:rFonts w:hint="eastAsia"/>
        </w:rPr>
      </w:pPr>
      <w:r>
        <w:rPr>
          <w:rFonts w:hint="eastAsia"/>
        </w:rPr>
        <w:t>对客户数字化供应链的基本情况做初步评价，包括访谈、问卷和现场观察；</w:t>
      </w:r>
    </w:p>
    <w:p>
      <w:pPr>
        <w:pStyle w:val="175"/>
        <w:rPr>
          <w:rFonts w:hint="eastAsia"/>
        </w:rPr>
      </w:pPr>
      <w:r>
        <w:rPr>
          <w:rFonts w:hint="eastAsia"/>
        </w:rPr>
        <w:t>向客户提供数字化供应链管理咨询项目建议报告和其他附加需求说明材料；</w:t>
      </w:r>
    </w:p>
    <w:p>
      <w:pPr>
        <w:pStyle w:val="175"/>
        <w:rPr>
          <w:rFonts w:hint="eastAsia"/>
        </w:rPr>
      </w:pPr>
      <w:r>
        <w:rPr>
          <w:rFonts w:hint="eastAsia"/>
        </w:rPr>
        <w:t>通过沟通研讨，确定数字化供应链管理咨询服务需求</w:t>
      </w:r>
      <w:r>
        <w:rPr>
          <w:rFonts w:hint="eastAsia"/>
          <w:lang w:eastAsia="zh-CN"/>
        </w:rPr>
        <w:t>，</w:t>
      </w:r>
      <w:r>
        <w:rPr>
          <w:rFonts w:hint="eastAsia"/>
        </w:rPr>
        <w:t>如</w:t>
      </w:r>
      <w:r>
        <w:rPr>
          <w:rFonts w:hint="eastAsia"/>
          <w:lang w:eastAsia="zh-CN"/>
        </w:rPr>
        <w:t>基于价值创造的</w:t>
      </w:r>
      <w:r>
        <w:rPr>
          <w:rFonts w:hint="eastAsia"/>
        </w:rPr>
        <w:t>体系架构视角、技术成熟度视角等</w:t>
      </w:r>
      <w:r>
        <w:rPr>
          <w:rFonts w:hint="eastAsia"/>
          <w:lang w:eastAsia="zh-CN"/>
        </w:rPr>
        <w:t>；</w:t>
      </w:r>
      <w:r>
        <w:rPr>
          <w:rFonts w:hint="eastAsia"/>
        </w:rPr>
        <w:t>深度和范围</w:t>
      </w:r>
      <w:r>
        <w:rPr>
          <w:rFonts w:hint="eastAsia"/>
          <w:lang w:eastAsia="zh-CN"/>
        </w:rPr>
        <w:t>，</w:t>
      </w:r>
      <w:r>
        <w:rPr>
          <w:rFonts w:hint="eastAsia"/>
        </w:rPr>
        <w:t>如数字化供应链的管理咨询服务的具体需求内容；</w:t>
      </w:r>
    </w:p>
    <w:p>
      <w:pPr>
        <w:pStyle w:val="175"/>
        <w:rPr>
          <w:rFonts w:hint="eastAsia"/>
        </w:rPr>
      </w:pPr>
      <w:r>
        <w:rPr>
          <w:rFonts w:hint="eastAsia"/>
        </w:rPr>
        <w:t>根据洽谈的需要，配置适合的数字化供应链管理咨询服务团队，并获得客户的认可；</w:t>
      </w:r>
    </w:p>
    <w:p>
      <w:pPr>
        <w:pStyle w:val="175"/>
        <w:rPr>
          <w:rFonts w:hint="eastAsia"/>
        </w:rPr>
      </w:pPr>
      <w:r>
        <w:rPr>
          <w:rFonts w:hint="eastAsia"/>
        </w:rPr>
        <w:t>宜对有项目预诊断需求的客户提供包括但不限于企业数字化供应链基础设施、业务运作、生态协同、管理保障等内容的预诊断服务</w:t>
      </w:r>
      <w:r>
        <w:rPr>
          <w:rFonts w:hint="eastAsia"/>
          <w:lang w:eastAsia="zh-CN"/>
        </w:rPr>
        <w:t>，</w:t>
      </w:r>
      <w:r>
        <w:rPr>
          <w:rFonts w:hint="eastAsia"/>
        </w:rPr>
        <w:t>见附录B</w:t>
      </w:r>
      <w:r>
        <w:rPr>
          <w:rFonts w:hint="eastAsia"/>
          <w:lang w:val="en-US" w:eastAsia="zh-CN"/>
        </w:rPr>
        <w:t>；</w:t>
      </w:r>
    </w:p>
    <w:p>
      <w:pPr>
        <w:pStyle w:val="175"/>
      </w:pPr>
      <w:r>
        <w:rPr>
          <w:rFonts w:hint="eastAsia"/>
        </w:rPr>
        <w:t>宜对客户的其他需求提供服务保障，包括但不限于提供招投标流程组织实施等。</w:t>
      </w:r>
    </w:p>
    <w:p>
      <w:pPr>
        <w:pStyle w:val="66"/>
        <w:spacing w:before="120" w:after="120"/>
      </w:pPr>
      <w:r>
        <w:rPr>
          <w:rFonts w:hint="eastAsia"/>
        </w:rPr>
        <w:t>签约</w:t>
      </w:r>
    </w:p>
    <w:p>
      <w:pPr>
        <w:pStyle w:val="57"/>
        <w:ind w:firstLine="420"/>
        <w:rPr>
          <w:rFonts w:hint="eastAsia"/>
        </w:rPr>
      </w:pPr>
      <w:r>
        <w:rPr>
          <w:rFonts w:hint="eastAsia"/>
        </w:rPr>
        <w:t>数字化供应链管理咨询服务签约注意要点包括但不限于：</w:t>
      </w:r>
    </w:p>
    <w:p>
      <w:pPr>
        <w:pStyle w:val="175"/>
        <w:numPr>
          <w:ilvl w:val="0"/>
          <w:numId w:val="34"/>
        </w:numPr>
        <w:rPr>
          <w:rFonts w:hint="eastAsia"/>
          <w:strike w:val="0"/>
          <w:color w:val="auto"/>
        </w:rPr>
      </w:pPr>
      <w:r>
        <w:rPr>
          <w:rFonts w:hint="eastAsia"/>
        </w:rPr>
        <w:t>签约内容包括但不限于背景</w:t>
      </w:r>
      <w:r>
        <w:rPr>
          <w:rFonts w:hint="eastAsia"/>
          <w:lang w:eastAsia="zh-CN"/>
        </w:rPr>
        <w:t>，如</w:t>
      </w:r>
      <w:r>
        <w:rPr>
          <w:rFonts w:hint="eastAsia"/>
        </w:rPr>
        <w:t>现状、约束和风险、利益相关方</w:t>
      </w:r>
      <w:r>
        <w:rPr>
          <w:rFonts w:hint="eastAsia"/>
          <w:lang w:eastAsia="zh-CN"/>
        </w:rPr>
        <w:t>，</w:t>
      </w:r>
      <w:r>
        <w:rPr>
          <w:rFonts w:hint="eastAsia"/>
        </w:rPr>
        <w:t>服务和可交付结果、方式和工作计划、角色和职责</w:t>
      </w:r>
      <w:r>
        <w:rPr>
          <w:rFonts w:hint="eastAsia"/>
          <w:color w:val="auto"/>
        </w:rPr>
        <w:t>、验收标准</w:t>
      </w:r>
      <w:r>
        <w:rPr>
          <w:rFonts w:hint="eastAsia"/>
          <w:color w:val="auto"/>
          <w:lang w:eastAsia="zh-CN"/>
        </w:rPr>
        <w:t>，</w:t>
      </w:r>
      <w:r>
        <w:rPr>
          <w:rFonts w:hint="eastAsia"/>
          <w:strike w:val="0"/>
          <w:dstrike w:val="0"/>
          <w:color w:val="auto"/>
          <w:lang w:eastAsia="zh-CN"/>
        </w:rPr>
        <w:t>以及</w:t>
      </w:r>
      <w:r>
        <w:rPr>
          <w:rFonts w:hint="eastAsia"/>
          <w:strike w:val="0"/>
          <w:dstrike w:val="0"/>
          <w:color w:val="auto"/>
        </w:rPr>
        <w:t>客户对数字化供应链管理咨询的明确需求、预期和渴望、任务中涉及的潜在约束和风险、知识产权以及超出变化控制过程范围的任何重大变化；</w:t>
      </w:r>
    </w:p>
    <w:p>
      <w:pPr>
        <w:pStyle w:val="175"/>
        <w:rPr>
          <w:rFonts w:hint="eastAsia"/>
        </w:rPr>
      </w:pPr>
      <w:r>
        <w:rPr>
          <w:rFonts w:hint="eastAsia"/>
        </w:rPr>
        <w:t>服务中数据保护和保密，包括所有利益相关方的机密数据和信息以及知识产权。在签约内容中明确管理咨询服务提供方宜通过限制所收集信息的类型以及获取、存储、使用、报告和加密的方式来保护所有利益相关方的隐私权；未经许可，管理咨询服务提供方不能</w:t>
      </w:r>
      <w:r>
        <w:rPr>
          <w:rFonts w:hint="eastAsia"/>
          <w:lang w:eastAsia="zh-CN"/>
        </w:rPr>
        <w:t>出于</w:t>
      </w:r>
      <w:r>
        <w:rPr>
          <w:rFonts w:hint="eastAsia"/>
        </w:rPr>
        <w:t>任何原因而使用利益相关方的数据和信息；管理咨询服务提供方宜保持客户对其的信用和信任，对其数据和信息保密，直至任务结项后依然保持</w:t>
      </w:r>
      <w:r>
        <w:rPr>
          <w:rFonts w:hint="eastAsia"/>
          <w:lang w:eastAsia="zh-CN"/>
        </w:rPr>
        <w:t>；</w:t>
      </w:r>
    </w:p>
    <w:p>
      <w:pPr>
        <w:pStyle w:val="175"/>
        <w:rPr>
          <w:rFonts w:hint="eastAsia"/>
          <w:color w:val="auto"/>
        </w:rPr>
      </w:pPr>
      <w:r>
        <w:rPr>
          <w:rFonts w:hint="eastAsia"/>
        </w:rPr>
        <w:t>对</w:t>
      </w:r>
      <w:r>
        <w:rPr>
          <w:rFonts w:hint="eastAsia"/>
          <w:color w:val="auto"/>
          <w:lang w:eastAsia="zh-CN"/>
        </w:rPr>
        <w:t>管理咨询服务提供方</w:t>
      </w:r>
      <w:r>
        <w:rPr>
          <w:rFonts w:hint="eastAsia"/>
          <w:color w:val="auto"/>
        </w:rPr>
        <w:t>任务结果或可交付成果产生的知识产权</w:t>
      </w:r>
      <w:r>
        <w:rPr>
          <w:rFonts w:hint="eastAsia"/>
          <w:strike w:val="0"/>
          <w:dstrike w:val="0"/>
          <w:color w:val="auto"/>
          <w:lang w:eastAsia="zh-CN"/>
        </w:rPr>
        <w:t>（</w:t>
      </w:r>
      <w:r>
        <w:rPr>
          <w:rFonts w:hint="eastAsia"/>
          <w:color w:val="auto"/>
          <w:lang w:eastAsia="zh-CN"/>
        </w:rPr>
        <w:t>包含</w:t>
      </w:r>
      <w:r>
        <w:rPr>
          <w:rFonts w:hint="eastAsia"/>
          <w:color w:val="auto"/>
        </w:rPr>
        <w:t>所有权、使用权或引用权</w:t>
      </w:r>
      <w:r>
        <w:rPr>
          <w:rFonts w:hint="eastAsia"/>
          <w:strike w:val="0"/>
          <w:dstrike w:val="0"/>
          <w:color w:val="auto"/>
          <w:lang w:eastAsia="zh-CN"/>
        </w:rPr>
        <w:t>），</w:t>
      </w:r>
      <w:r>
        <w:rPr>
          <w:rFonts w:hint="eastAsia"/>
          <w:color w:val="auto"/>
        </w:rPr>
        <w:t>其所有权宜在签约阶段达成一致，在任务结束后依然适用；</w:t>
      </w:r>
    </w:p>
    <w:p>
      <w:pPr>
        <w:pStyle w:val="175"/>
        <w:rPr>
          <w:rFonts w:hint="eastAsia"/>
        </w:rPr>
      </w:pPr>
      <w:r>
        <w:rPr>
          <w:rFonts w:hint="eastAsia"/>
          <w:color w:val="auto"/>
          <w:lang w:eastAsia="zh-CN"/>
        </w:rPr>
        <w:t>管理咨询服务提供方</w:t>
      </w:r>
      <w:r>
        <w:rPr>
          <w:rFonts w:hint="eastAsia"/>
          <w:color w:val="auto"/>
        </w:rPr>
        <w:t>在</w:t>
      </w:r>
      <w:r>
        <w:rPr>
          <w:rFonts w:hint="eastAsia"/>
        </w:rPr>
        <w:t>签约阶段就风险和质量管理方法和范围与客户达成一致；</w:t>
      </w:r>
    </w:p>
    <w:p>
      <w:pPr>
        <w:pStyle w:val="175"/>
      </w:pPr>
      <w:r>
        <w:rPr>
          <w:rFonts w:hint="eastAsia"/>
        </w:rPr>
        <w:t>签约结果是管理咨询服务提供方与客户签订具有约束力的协议。该协议确定了待提供的服务和可交付成果，并确定各方的权利和义务，需关注的利益相关方的利益在协议中能够被识别。</w:t>
      </w:r>
    </w:p>
    <w:p>
      <w:pPr>
        <w:pStyle w:val="66"/>
        <w:spacing w:before="120" w:after="120"/>
      </w:pPr>
      <w:r>
        <w:rPr>
          <w:rFonts w:hint="eastAsia"/>
        </w:rPr>
        <w:t>现状诊断</w:t>
      </w:r>
    </w:p>
    <w:p>
      <w:pPr>
        <w:pStyle w:val="57"/>
        <w:ind w:firstLine="420"/>
        <w:rPr>
          <w:rFonts w:hint="eastAsia"/>
        </w:rPr>
      </w:pPr>
      <w:r>
        <w:rPr>
          <w:rFonts w:hint="eastAsia"/>
        </w:rPr>
        <w:t>确定数字化供应链管理咨询服务合同和管理咨询项目启动条件后，管理咨询服务提供方策划现状诊断计划，配置数字化供应链管理咨询项目团队，按计划</w:t>
      </w:r>
      <w:r>
        <w:rPr>
          <w:rFonts w:hint="eastAsia"/>
          <w:lang w:eastAsia="zh-CN"/>
        </w:rPr>
        <w:t>开展</w:t>
      </w:r>
      <w:r>
        <w:rPr>
          <w:rFonts w:hint="eastAsia"/>
        </w:rPr>
        <w:t>现状诊断。现状诊断包括但不限于：</w:t>
      </w:r>
    </w:p>
    <w:p>
      <w:pPr>
        <w:pStyle w:val="175"/>
        <w:numPr>
          <w:ilvl w:val="0"/>
          <w:numId w:val="35"/>
        </w:numPr>
        <w:rPr>
          <w:rFonts w:hint="eastAsia"/>
        </w:rPr>
      </w:pPr>
      <w:r>
        <w:rPr>
          <w:rFonts w:hint="eastAsia"/>
        </w:rPr>
        <w:t>拟定包括数字化供应链现状诊断实施过程和成果描述在内的诊断计划，并获得接受方认可；</w:t>
      </w:r>
    </w:p>
    <w:p>
      <w:pPr>
        <w:pStyle w:val="175"/>
        <w:rPr>
          <w:rFonts w:hint="eastAsia"/>
        </w:rPr>
      </w:pPr>
      <w:r>
        <w:rPr>
          <w:rFonts w:hint="eastAsia"/>
        </w:rPr>
        <w:t>策划诊断所需的各类工具，包括但不限于访谈大纲、问卷、数据收集清单，并获得接受方认可；</w:t>
      </w:r>
    </w:p>
    <w:p>
      <w:pPr>
        <w:pStyle w:val="175"/>
        <w:rPr>
          <w:rFonts w:hint="eastAsia"/>
        </w:rPr>
      </w:pPr>
      <w:r>
        <w:rPr>
          <w:rFonts w:hint="eastAsia"/>
        </w:rPr>
        <w:t>按策划的方式展开信息收集，从</w:t>
      </w:r>
      <w:r>
        <w:rPr>
          <w:rFonts w:hint="eastAsia"/>
          <w:lang w:eastAsia="zh-CN"/>
        </w:rPr>
        <w:t>基于价值创造的</w:t>
      </w:r>
      <w:r>
        <w:rPr>
          <w:rFonts w:hint="eastAsia"/>
        </w:rPr>
        <w:t>供应链体系设计、供应链平台赋能、供应链业务运营、供应链效能效益四方面进行数字化供应链成熟度评估，撰写诊断报告；</w:t>
      </w:r>
    </w:p>
    <w:p>
      <w:pPr>
        <w:pStyle w:val="175"/>
        <w:rPr>
          <w:rFonts w:hint="eastAsia"/>
        </w:rPr>
      </w:pPr>
      <w:r>
        <w:rPr>
          <w:rFonts w:hint="eastAsia"/>
        </w:rPr>
        <w:t>提交诊断报告后</w:t>
      </w:r>
      <w:r>
        <w:rPr>
          <w:rFonts w:hint="eastAsia"/>
          <w:lang w:eastAsia="zh-CN"/>
        </w:rPr>
        <w:t>，</w:t>
      </w:r>
      <w:r>
        <w:rPr>
          <w:rFonts w:hint="eastAsia"/>
        </w:rPr>
        <w:t>与接受方决策层或相关人员研讨、沟通，确定诊断结论的符合程度；</w:t>
      </w:r>
    </w:p>
    <w:p>
      <w:pPr>
        <w:pStyle w:val="175"/>
        <w:rPr>
          <w:rFonts w:hint="eastAsia"/>
        </w:rPr>
      </w:pPr>
      <w:r>
        <w:rPr>
          <w:rFonts w:hint="eastAsia"/>
        </w:rPr>
        <w:t>诊断报告通过接受方评审后，提交诊断报告，并确认管理咨询实施的项目建议；</w:t>
      </w:r>
    </w:p>
    <w:p>
      <w:pPr>
        <w:pStyle w:val="175"/>
        <w:rPr>
          <w:rFonts w:hint="eastAsia"/>
        </w:rPr>
      </w:pPr>
      <w:r>
        <w:rPr>
          <w:rFonts w:hint="eastAsia"/>
        </w:rPr>
        <w:t>提交诊断报告时，注意识别项目实施的约束条件、潜在风险和项目变更的潜在倾向。</w:t>
      </w:r>
    </w:p>
    <w:p>
      <w:pPr>
        <w:pStyle w:val="66"/>
        <w:spacing w:before="120" w:after="120"/>
      </w:pPr>
      <w:r>
        <w:rPr>
          <w:rFonts w:hint="eastAsia"/>
        </w:rPr>
        <w:t>方案设计</w:t>
      </w:r>
    </w:p>
    <w:p>
      <w:pPr>
        <w:pStyle w:val="57"/>
        <w:ind w:firstLine="420"/>
        <w:rPr>
          <w:rFonts w:hint="eastAsia"/>
        </w:rPr>
      </w:pPr>
      <w:r>
        <w:rPr>
          <w:rFonts w:hint="eastAsia"/>
        </w:rPr>
        <w:t>管理咨询服务提供方宜基于诊断结论和接受方期望</w:t>
      </w:r>
      <w:r>
        <w:rPr>
          <w:rFonts w:hint="eastAsia"/>
          <w:lang w:eastAsia="zh-CN"/>
        </w:rPr>
        <w:t>，</w:t>
      </w:r>
      <w:r>
        <w:rPr>
          <w:rFonts w:hint="eastAsia"/>
        </w:rPr>
        <w:t>策划设计数字化供应链管理咨询的实施方案和附加服务。方案设计包括但不限于：</w:t>
      </w:r>
    </w:p>
    <w:p>
      <w:pPr>
        <w:pStyle w:val="175"/>
        <w:numPr>
          <w:ilvl w:val="0"/>
          <w:numId w:val="36"/>
        </w:numPr>
        <w:rPr>
          <w:rFonts w:hint="eastAsia"/>
        </w:rPr>
      </w:pPr>
      <w:r>
        <w:rPr>
          <w:rFonts w:hint="eastAsia"/>
        </w:rPr>
        <w:t>策划达成数字化供应链管理咨询项目目标所需的制度、流程、表格工具、培训、配套的信息技术工具等实施内容；</w:t>
      </w:r>
    </w:p>
    <w:p>
      <w:pPr>
        <w:pStyle w:val="175"/>
        <w:rPr>
          <w:rFonts w:hint="eastAsia"/>
        </w:rPr>
      </w:pPr>
      <w:r>
        <w:rPr>
          <w:rFonts w:hint="eastAsia"/>
        </w:rPr>
        <w:t>策划培训、评估、目标、信息技术实现的具体方式，管理咨询项目成果的评估方法、验收标准；</w:t>
      </w:r>
    </w:p>
    <w:p>
      <w:pPr>
        <w:pStyle w:val="175"/>
        <w:rPr>
          <w:rFonts w:hint="eastAsia"/>
        </w:rPr>
      </w:pPr>
      <w:r>
        <w:rPr>
          <w:rFonts w:hint="eastAsia"/>
        </w:rPr>
        <w:t>与接受方决策层或相关人员研讨方案、制度、流程等实施内容，方案包括但不限于：</w:t>
      </w:r>
    </w:p>
    <w:p>
      <w:pPr>
        <w:pStyle w:val="110"/>
        <w:numPr>
          <w:ilvl w:val="1"/>
          <w:numId w:val="37"/>
        </w:numPr>
        <w:rPr>
          <w:rFonts w:hint="eastAsia"/>
        </w:rPr>
      </w:pPr>
      <w:r>
        <w:rPr>
          <w:rFonts w:hint="eastAsia"/>
        </w:rPr>
        <w:t>数字化供应链战略规划</w:t>
      </w:r>
      <w:r>
        <w:rPr>
          <w:rFonts w:hint="eastAsia"/>
          <w:lang w:eastAsia="zh-CN"/>
        </w:rPr>
        <w:t>，涵盖技术选型、组织架构调整、人才队伍建设、合作伙伴关系构建等方面，确保全方位推进数字化转型</w:t>
      </w:r>
      <w:r>
        <w:rPr>
          <w:rFonts w:hint="eastAsia"/>
        </w:rPr>
        <w:t>；</w:t>
      </w:r>
    </w:p>
    <w:p>
      <w:pPr>
        <w:pStyle w:val="110"/>
        <w:rPr>
          <w:rFonts w:hint="eastAsia"/>
        </w:rPr>
      </w:pPr>
      <w:r>
        <w:rPr>
          <w:rFonts w:hint="eastAsia"/>
        </w:rPr>
        <w:t>关键业务流程重塑规划</w:t>
      </w:r>
      <w:r>
        <w:rPr>
          <w:rFonts w:hint="eastAsia"/>
          <w:lang w:eastAsia="zh-CN"/>
        </w:rPr>
        <w:t>，如需求计划预测、采购管理、生产计划、库存控制、物流配送、供应链金融、交付后服务、逆向服务等。引入数字化工具和方法，如实时数据采集与分析、智能决策支持系统、自动化设备、自主机器人、辅助驾驶应用等，实现流程标准化、透明化、智能化</w:t>
      </w:r>
      <w:r>
        <w:rPr>
          <w:rFonts w:hint="eastAsia"/>
        </w:rPr>
        <w:t>；系统设计业务架构、信息架构、应用架构和技术架构，促进供应链内部的职能集成</w:t>
      </w:r>
      <w:r>
        <w:rPr>
          <w:rFonts w:hint="eastAsia"/>
          <w:lang w:eastAsia="zh-CN"/>
        </w:rPr>
        <w:t>；</w:t>
      </w:r>
    </w:p>
    <w:p>
      <w:pPr>
        <w:pStyle w:val="110"/>
        <w:rPr>
          <w:rFonts w:hint="eastAsia"/>
        </w:rPr>
      </w:pPr>
      <w:r>
        <w:rPr>
          <w:rFonts w:hint="eastAsia"/>
        </w:rPr>
        <w:t>供应商管理</w:t>
      </w:r>
      <w:r>
        <w:rPr>
          <w:rFonts w:hint="eastAsia"/>
          <w:lang w:eastAsia="zh-CN"/>
        </w:rPr>
        <w:t>，实现供应商与企业之间的高效连接和数据交换，提升风控能力与合规性</w:t>
      </w:r>
      <w:r>
        <w:rPr>
          <w:rFonts w:hint="eastAsia"/>
        </w:rPr>
        <w:t>；</w:t>
      </w:r>
    </w:p>
    <w:p>
      <w:pPr>
        <w:pStyle w:val="110"/>
        <w:rPr>
          <w:rFonts w:hint="eastAsia"/>
        </w:rPr>
      </w:pPr>
      <w:r>
        <w:rPr>
          <w:rFonts w:hint="eastAsia"/>
        </w:rPr>
        <w:t>供应链计划协同管理规划</w:t>
      </w:r>
      <w:r>
        <w:rPr>
          <w:rFonts w:hint="eastAsia"/>
          <w:lang w:eastAsia="zh-CN"/>
        </w:rPr>
        <w:t>，确保各个环节能够紧密配合，提高整体效率；通过精准的需求预测和管理，减少库存积压和浪费</w:t>
      </w:r>
      <w:r>
        <w:rPr>
          <w:rFonts w:hint="eastAsia"/>
        </w:rPr>
        <w:t>；</w:t>
      </w:r>
    </w:p>
    <w:p>
      <w:pPr>
        <w:pStyle w:val="110"/>
        <w:rPr>
          <w:rFonts w:hint="eastAsia"/>
        </w:rPr>
      </w:pPr>
      <w:r>
        <w:rPr>
          <w:rFonts w:hint="eastAsia"/>
        </w:rPr>
        <w:t>供应链物流网络布局规划</w:t>
      </w:r>
      <w:r>
        <w:rPr>
          <w:rFonts w:hint="eastAsia"/>
          <w:lang w:eastAsia="zh-CN"/>
        </w:rPr>
        <w:t>，降低运输成本，提高配送效率；合理规划仓库的位置和容量，提升仓储管理的效率和灵活性</w:t>
      </w:r>
      <w:r>
        <w:rPr>
          <w:rFonts w:hint="eastAsia"/>
        </w:rPr>
        <w:t>；</w:t>
      </w:r>
    </w:p>
    <w:p>
      <w:pPr>
        <w:pStyle w:val="110"/>
        <w:rPr>
          <w:rFonts w:hint="eastAsia"/>
        </w:rPr>
      </w:pPr>
      <w:r>
        <w:rPr>
          <w:rFonts w:hint="eastAsia"/>
        </w:rPr>
        <w:t>端到端的供应链运营体系及系统规划</w:t>
      </w:r>
      <w:r>
        <w:rPr>
          <w:rFonts w:hint="eastAsia"/>
          <w:lang w:eastAsia="zh-CN"/>
        </w:rPr>
        <w:t>，实现信息的实时共享和管理</w:t>
      </w:r>
      <w:r>
        <w:rPr>
          <w:rFonts w:hint="eastAsia"/>
        </w:rPr>
        <w:t>；</w:t>
      </w:r>
    </w:p>
    <w:p>
      <w:pPr>
        <w:pStyle w:val="110"/>
        <w:rPr>
          <w:rFonts w:hint="eastAsia"/>
        </w:rPr>
      </w:pPr>
      <w:r>
        <w:rPr>
          <w:rFonts w:hint="eastAsia"/>
        </w:rPr>
        <w:t>数字化供应链数据基础规划</w:t>
      </w:r>
      <w:r>
        <w:rPr>
          <w:rFonts w:hint="eastAsia"/>
          <w:lang w:eastAsia="zh-CN"/>
        </w:rPr>
        <w:t>，涵盖数字化供应链数据源、及数据采集交换、集成处理、建模分析并应用实施的全过程</w:t>
      </w:r>
      <w:r>
        <w:rPr>
          <w:rFonts w:hint="eastAsia"/>
        </w:rPr>
        <w:t>；</w:t>
      </w:r>
    </w:p>
    <w:p>
      <w:pPr>
        <w:pStyle w:val="110"/>
        <w:rPr>
          <w:rFonts w:hint="eastAsia"/>
        </w:rPr>
      </w:pPr>
      <w:r>
        <w:rPr>
          <w:rFonts w:hint="eastAsia"/>
        </w:rPr>
        <w:t>智能供应链平台规划</w:t>
      </w:r>
      <w:r>
        <w:rPr>
          <w:rFonts w:hint="eastAsia"/>
          <w:lang w:eastAsia="zh-CN"/>
        </w:rPr>
        <w:t>，包括智能供应链平台、采集对象的编码统一、信息获取同步、数据互联互通、智能预测和决策的算法模型等</w:t>
      </w:r>
      <w:r>
        <w:rPr>
          <w:rFonts w:hint="eastAsia"/>
        </w:rPr>
        <w:t>；</w:t>
      </w:r>
    </w:p>
    <w:p>
      <w:pPr>
        <w:pStyle w:val="110"/>
        <w:rPr>
          <w:rFonts w:hint="eastAsia"/>
        </w:rPr>
      </w:pPr>
      <w:r>
        <w:rPr>
          <w:rFonts w:hint="eastAsia"/>
        </w:rPr>
        <w:t>差异化供应链管理规划</w:t>
      </w:r>
      <w:r>
        <w:rPr>
          <w:rFonts w:hint="eastAsia"/>
          <w:lang w:eastAsia="zh-CN"/>
        </w:rPr>
        <w:t>，如通过物流可视化服务等技术手段提升供应链的响应速度，快速满足市场需求变化</w:t>
      </w:r>
      <w:r>
        <w:rPr>
          <w:rFonts w:hint="eastAsia"/>
        </w:rPr>
        <w:t>；</w:t>
      </w:r>
    </w:p>
    <w:p>
      <w:pPr>
        <w:pStyle w:val="110"/>
        <w:rPr>
          <w:rFonts w:hint="eastAsia"/>
        </w:rPr>
      </w:pPr>
      <w:r>
        <w:rPr>
          <w:rFonts w:hint="eastAsia"/>
        </w:rPr>
        <w:t>供应链上下游</w:t>
      </w:r>
      <w:r>
        <w:rPr>
          <w:rFonts w:hint="eastAsia"/>
          <w:lang w:eastAsia="zh-CN"/>
        </w:rPr>
        <w:t>生态</w:t>
      </w:r>
      <w:r>
        <w:rPr>
          <w:rFonts w:hint="eastAsia"/>
        </w:rPr>
        <w:t>协同规划</w:t>
      </w:r>
      <w:r>
        <w:rPr>
          <w:rFonts w:hint="eastAsia"/>
          <w:lang w:eastAsia="zh-CN"/>
        </w:rPr>
        <w:t>，加强与供应链上下游企业的协同合作和信息共享</w:t>
      </w:r>
      <w:r>
        <w:rPr>
          <w:rFonts w:hint="eastAsia"/>
        </w:rPr>
        <w:t>；</w:t>
      </w:r>
    </w:p>
    <w:p>
      <w:pPr>
        <w:pStyle w:val="110"/>
        <w:rPr>
          <w:rFonts w:hint="eastAsia"/>
        </w:rPr>
      </w:pPr>
      <w:r>
        <w:rPr>
          <w:rFonts w:hint="eastAsia"/>
        </w:rPr>
        <w:t>绩效衡量和评价规划</w:t>
      </w:r>
      <w:r>
        <w:rPr>
          <w:rFonts w:hint="eastAsia"/>
          <w:lang w:eastAsia="zh-CN"/>
        </w:rPr>
        <w:t>，利用供应链大数据平台的现有数据源和数据资产，通过数字化的绩效管理系统实现数据资产的专业挖掘、深度分析和运营应用，不断优化和改进供应链管理，提高整体绩效；</w:t>
      </w:r>
    </w:p>
    <w:p>
      <w:pPr>
        <w:pStyle w:val="110"/>
        <w:rPr>
          <w:rFonts w:hint="eastAsia"/>
        </w:rPr>
      </w:pPr>
      <w:r>
        <w:rPr>
          <w:rFonts w:hint="eastAsia"/>
        </w:rPr>
        <w:t>供应链金融服务规划，基于区块链的供应链金融平台实现企业间直接融资和支付结算，利用大数据和人工智能技术进行信用评估和风险控制，利用移动支付和数字货币等新型支付方式提高支付效率和安全性等。</w:t>
      </w:r>
    </w:p>
    <w:p>
      <w:pPr>
        <w:pStyle w:val="175"/>
        <w:rPr>
          <w:rFonts w:hint="eastAsia"/>
        </w:rPr>
      </w:pPr>
      <w:r>
        <w:rPr>
          <w:rFonts w:hint="eastAsia"/>
        </w:rPr>
        <w:t>整理方案的待实施任务，获得接受方认可后，确定实施计划；</w:t>
      </w:r>
    </w:p>
    <w:p>
      <w:pPr>
        <w:pStyle w:val="175"/>
        <w:rPr>
          <w:rFonts w:hint="eastAsia"/>
        </w:rPr>
      </w:pPr>
      <w:r>
        <w:rPr>
          <w:rFonts w:hint="eastAsia"/>
        </w:rPr>
        <w:t>将方案和实施计划提交给接受方决策层，经确认后结束方案设计活动；</w:t>
      </w:r>
    </w:p>
    <w:p>
      <w:pPr>
        <w:pStyle w:val="175"/>
      </w:pPr>
      <w:r>
        <w:rPr>
          <w:rFonts w:hint="eastAsia"/>
        </w:rPr>
        <w:t>方案设计过程宜考虑数据、信息、技术资源和技术实现方法，咨询服务质量监测与保障措施包括验收条件、验收标准和方法、阶段目标和阶段成果等。</w:t>
      </w:r>
    </w:p>
    <w:p>
      <w:pPr>
        <w:pStyle w:val="66"/>
        <w:spacing w:before="120" w:after="120"/>
      </w:pPr>
      <w:r>
        <w:rPr>
          <w:rFonts w:hint="eastAsia"/>
        </w:rPr>
        <w:t>项目指导</w:t>
      </w:r>
    </w:p>
    <w:p>
      <w:pPr>
        <w:pStyle w:val="57"/>
        <w:ind w:firstLine="420"/>
        <w:rPr>
          <w:rFonts w:hint="eastAsia"/>
        </w:rPr>
      </w:pPr>
      <w:r>
        <w:rPr>
          <w:rFonts w:hint="eastAsia"/>
        </w:rPr>
        <w:t>管理咨询服务提供方按方案设计的内容、方法和进程，编制数字化供应链实施计划并指导实施和培训，当发现偏差时，宜编制更新计划，及时调整和修订方案。实施指导包括但不限于：</w:t>
      </w:r>
    </w:p>
    <w:p>
      <w:pPr>
        <w:pStyle w:val="175"/>
        <w:numPr>
          <w:ilvl w:val="0"/>
          <w:numId w:val="38"/>
        </w:numPr>
        <w:rPr>
          <w:rFonts w:hint="eastAsia"/>
        </w:rPr>
      </w:pPr>
      <w:r>
        <w:rPr>
          <w:rFonts w:hint="eastAsia"/>
        </w:rPr>
        <w:t>宣讲数字化供应链设计方案</w:t>
      </w:r>
      <w:r>
        <w:rPr>
          <w:rFonts w:hint="eastAsia"/>
          <w:lang w:eastAsia="zh-CN"/>
        </w:rPr>
        <w:t>，</w:t>
      </w:r>
      <w:r>
        <w:rPr>
          <w:rFonts w:hint="eastAsia"/>
        </w:rPr>
        <w:t>使接受方了解设计思路、背景和实施要求；</w:t>
      </w:r>
    </w:p>
    <w:p>
      <w:pPr>
        <w:pStyle w:val="175"/>
        <w:rPr>
          <w:rFonts w:hint="eastAsia"/>
        </w:rPr>
      </w:pPr>
      <w:r>
        <w:rPr>
          <w:rFonts w:hint="eastAsia"/>
        </w:rPr>
        <w:t>根据实施需要和策划的安排，组织相关培训，提升员工的数字技能和创新意识，培养一支具备数字化思维和能力的供应链团队；</w:t>
      </w:r>
    </w:p>
    <w:p>
      <w:pPr>
        <w:pStyle w:val="175"/>
        <w:rPr>
          <w:rFonts w:hint="eastAsia"/>
        </w:rPr>
      </w:pPr>
      <w:r>
        <w:rPr>
          <w:rFonts w:hint="eastAsia"/>
        </w:rPr>
        <w:t>研讨实施过程的偏差和分歧，做好变更控制，包括供应链风险应对措施等；</w:t>
      </w:r>
    </w:p>
    <w:p>
      <w:pPr>
        <w:pStyle w:val="175"/>
      </w:pPr>
      <w:r>
        <w:rPr>
          <w:rFonts w:hint="eastAsia"/>
        </w:rPr>
        <w:t>达成预定目标时，综合评价和总结方案实施的经验和问题，提交总结报告。</w:t>
      </w:r>
    </w:p>
    <w:p>
      <w:pPr>
        <w:pStyle w:val="66"/>
        <w:spacing w:before="120" w:after="120"/>
      </w:pPr>
      <w:r>
        <w:rPr>
          <w:rFonts w:hint="eastAsia"/>
        </w:rPr>
        <w:t>项目评估</w:t>
      </w:r>
    </w:p>
    <w:p>
      <w:pPr>
        <w:pStyle w:val="57"/>
        <w:ind w:firstLine="420"/>
        <w:rPr>
          <w:rFonts w:hint="eastAsia"/>
        </w:rPr>
      </w:pPr>
      <w:r>
        <w:rPr>
          <w:rFonts w:hint="eastAsia"/>
        </w:rPr>
        <w:t>管理咨询服务提供方要基于策划的数字化供应链管理咨询服务方案与接受方共同组织管理咨询项目成效评估。项目评估包括但不限于：</w:t>
      </w:r>
    </w:p>
    <w:p>
      <w:pPr>
        <w:pStyle w:val="175"/>
        <w:numPr>
          <w:ilvl w:val="0"/>
          <w:numId w:val="39"/>
        </w:numPr>
        <w:rPr>
          <w:rFonts w:hint="eastAsia"/>
        </w:rPr>
      </w:pPr>
      <w:r>
        <w:rPr>
          <w:rFonts w:hint="eastAsia"/>
        </w:rPr>
        <w:t>制定数字化供应链管理咨询项目评估的具体计划，包括参加人员、方法、进度、结果确认等；</w:t>
      </w:r>
    </w:p>
    <w:p>
      <w:pPr>
        <w:pStyle w:val="175"/>
        <w:rPr>
          <w:rFonts w:hint="eastAsia"/>
        </w:rPr>
      </w:pPr>
      <w:r>
        <w:rPr>
          <w:rFonts w:hint="eastAsia"/>
        </w:rPr>
        <w:t>策划评估方案时明确方案实施的过程评估、成效评估的方法、工具、措施和对象；</w:t>
      </w:r>
    </w:p>
    <w:p>
      <w:pPr>
        <w:pStyle w:val="175"/>
        <w:rPr>
          <w:rFonts w:hint="eastAsia"/>
        </w:rPr>
      </w:pPr>
      <w:r>
        <w:rPr>
          <w:rFonts w:hint="eastAsia"/>
        </w:rPr>
        <w:t>评估的初步结果与接受方进行沟通</w:t>
      </w:r>
      <w:r>
        <w:rPr>
          <w:rFonts w:hint="eastAsia"/>
          <w:lang w:eastAsia="zh-CN"/>
        </w:rPr>
        <w:t>，</w:t>
      </w:r>
      <w:r>
        <w:rPr>
          <w:rFonts w:hint="eastAsia"/>
        </w:rPr>
        <w:t>并获得接受方认可。必要时，以量化数据反映管理咨询项目实施所带来的经济效益，评估结论宜反映管理咨询项目目标的实现程度；</w:t>
      </w:r>
    </w:p>
    <w:p>
      <w:pPr>
        <w:pStyle w:val="175"/>
        <w:rPr>
          <w:rFonts w:hint="eastAsia"/>
        </w:rPr>
      </w:pPr>
      <w:r>
        <w:rPr>
          <w:rFonts w:hint="eastAsia"/>
        </w:rPr>
        <w:t>评估结束后</w:t>
      </w:r>
      <w:r>
        <w:rPr>
          <w:rFonts w:hint="eastAsia"/>
          <w:lang w:eastAsia="zh-CN"/>
        </w:rPr>
        <w:t>，</w:t>
      </w:r>
      <w:r>
        <w:rPr>
          <w:rFonts w:hint="eastAsia"/>
        </w:rPr>
        <w:t>整理管理咨询服务过程中形成的相关文件和资料，连同评估报告一并移交给接受方，并被签收；</w:t>
      </w:r>
    </w:p>
    <w:p>
      <w:pPr>
        <w:pStyle w:val="175"/>
        <w:rPr>
          <w:rFonts w:hint="eastAsia"/>
        </w:rPr>
      </w:pPr>
      <w:r>
        <w:rPr>
          <w:rFonts w:hint="eastAsia"/>
        </w:rPr>
        <w:t>评估重点是管理咨询项目实施的有效性、计划执行状态及管理咨询项目绩效改进的机会。评估内容包括但不限于：</w:t>
      </w:r>
    </w:p>
    <w:p>
      <w:pPr>
        <w:pStyle w:val="110"/>
        <w:numPr>
          <w:ilvl w:val="1"/>
          <w:numId w:val="40"/>
        </w:numPr>
        <w:rPr>
          <w:rFonts w:hint="eastAsia"/>
        </w:rPr>
      </w:pPr>
      <w:r>
        <w:rPr>
          <w:rFonts w:hint="eastAsia"/>
        </w:rPr>
        <w:t>战略维度：战略规划是否清晰、明确、前瞻、全面；组织、人才、数据、平台对供应战略的支撑情况；以及战略规划的达成度与预期愿景之间的差距；</w:t>
      </w:r>
    </w:p>
    <w:p>
      <w:pPr>
        <w:pStyle w:val="110"/>
        <w:rPr>
          <w:rFonts w:hint="eastAsia"/>
        </w:rPr>
      </w:pPr>
      <w:r>
        <w:rPr>
          <w:rFonts w:hint="eastAsia"/>
        </w:rPr>
        <w:t>运营维度：供应链各环节</w:t>
      </w:r>
      <w:r>
        <w:rPr>
          <w:rFonts w:hint="eastAsia"/>
          <w:lang w:eastAsia="zh-CN"/>
        </w:rPr>
        <w:t>及供应链生态协同</w:t>
      </w:r>
      <w:r>
        <w:rPr>
          <w:rFonts w:hint="eastAsia"/>
        </w:rPr>
        <w:t>的信息传递与共享是否及时准确；能更准确地预测需求、优化库存及物流、评估</w:t>
      </w:r>
      <w:r>
        <w:rPr>
          <w:rFonts w:hint="eastAsia"/>
          <w:lang w:eastAsia="zh-CN"/>
        </w:rPr>
        <w:t>生态</w:t>
      </w:r>
      <w:r>
        <w:rPr>
          <w:rFonts w:hint="eastAsia"/>
        </w:rPr>
        <w:t>伙伴</w:t>
      </w:r>
      <w:r>
        <w:rPr>
          <w:rFonts w:hint="eastAsia"/>
          <w:lang w:eastAsia="zh-CN"/>
        </w:rPr>
        <w:t>协同</w:t>
      </w:r>
      <w:r>
        <w:rPr>
          <w:rFonts w:hint="eastAsia"/>
        </w:rPr>
        <w:t>、预测与应对风险</w:t>
      </w:r>
      <w:r>
        <w:rPr>
          <w:rFonts w:hint="eastAsia"/>
          <w:lang w:eastAsia="zh-CN"/>
        </w:rPr>
        <w:t>，</w:t>
      </w:r>
      <w:r>
        <w:rPr>
          <w:rFonts w:hint="eastAsia"/>
        </w:rPr>
        <w:t>合规风险</w:t>
      </w:r>
      <w:r>
        <w:rPr>
          <w:rFonts w:hint="eastAsia"/>
          <w:lang w:eastAsia="zh-CN"/>
        </w:rPr>
        <w:t>；</w:t>
      </w:r>
      <w:r>
        <w:rPr>
          <w:rFonts w:hint="eastAsia"/>
        </w:rPr>
        <w:t>实现数据驱动的精准决策制定；引入自动化的流程和工具，以最少的人为干预来执行任务或流程；企业在面对外部环境变化和不确定性时表现的快速调整与应对能力；</w:t>
      </w:r>
    </w:p>
    <w:p>
      <w:pPr>
        <w:pStyle w:val="110"/>
        <w:rPr>
          <w:rFonts w:hint="eastAsia"/>
        </w:rPr>
      </w:pPr>
      <w:r>
        <w:rPr>
          <w:rFonts w:hint="eastAsia"/>
        </w:rPr>
        <w:t>客户体验与客户价值维度：可持续发展与客户需求的关系能力、构建以客户为中心的服务模式情况；</w:t>
      </w:r>
    </w:p>
    <w:p>
      <w:pPr>
        <w:pStyle w:val="110"/>
        <w:rPr>
          <w:rFonts w:hint="eastAsia"/>
        </w:rPr>
      </w:pPr>
      <w:r>
        <w:rPr>
          <w:rFonts w:hint="eastAsia"/>
        </w:rPr>
        <w:t>可持续发展维度</w:t>
      </w:r>
      <w:r>
        <w:rPr>
          <w:rFonts w:hint="eastAsia"/>
          <w:lang w:eastAsia="zh-CN"/>
        </w:rPr>
        <w:t>。</w:t>
      </w:r>
    </w:p>
    <w:p>
      <w:pPr>
        <w:pStyle w:val="175"/>
      </w:pPr>
      <w:r>
        <w:rPr>
          <w:rFonts w:hint="eastAsia"/>
        </w:rPr>
        <w:t>管理咨询项目</w:t>
      </w:r>
      <w:r>
        <w:rPr>
          <w:rFonts w:hint="eastAsia"/>
          <w:lang w:eastAsia="zh-CN"/>
        </w:rPr>
        <w:t>的</w:t>
      </w:r>
      <w:r>
        <w:rPr>
          <w:rFonts w:hint="eastAsia"/>
        </w:rPr>
        <w:t>变化反映在评估报告中。</w:t>
      </w:r>
    </w:p>
    <w:p>
      <w:pPr>
        <w:pStyle w:val="66"/>
        <w:spacing w:before="120" w:after="120"/>
      </w:pPr>
      <w:r>
        <w:rPr>
          <w:rFonts w:hint="eastAsia"/>
        </w:rPr>
        <w:t>结项</w:t>
      </w:r>
    </w:p>
    <w:p>
      <w:pPr>
        <w:pStyle w:val="165"/>
      </w:pPr>
      <w:r>
        <w:rPr>
          <w:rFonts w:hint="eastAsia"/>
        </w:rPr>
        <w:t>概述</w:t>
      </w:r>
    </w:p>
    <w:p>
      <w:pPr>
        <w:pStyle w:val="57"/>
        <w:ind w:firstLine="420"/>
        <w:rPr>
          <w:rFonts w:hint="eastAsia"/>
        </w:rPr>
      </w:pPr>
      <w:r>
        <w:rPr>
          <w:rFonts w:hint="eastAsia"/>
        </w:rPr>
        <w:t>当协议中定义的验收过程结束时</w:t>
      </w:r>
      <w:r>
        <w:rPr>
          <w:rFonts w:hint="eastAsia"/>
          <w:lang w:eastAsia="zh-CN"/>
        </w:rPr>
        <w:t>，</w:t>
      </w:r>
      <w:r>
        <w:rPr>
          <w:rFonts w:hint="eastAsia"/>
        </w:rPr>
        <w:t>任务即完成。管理咨询服务提供方宜在最终结项任务结束之后</w:t>
      </w:r>
      <w:r>
        <w:rPr>
          <w:rFonts w:hint="eastAsia"/>
          <w:lang w:eastAsia="zh-CN"/>
        </w:rPr>
        <w:t>，</w:t>
      </w:r>
      <w:r>
        <w:rPr>
          <w:rFonts w:hint="eastAsia"/>
        </w:rPr>
        <w:t>进入结题程序。包括但不限于：</w:t>
      </w:r>
    </w:p>
    <w:p>
      <w:pPr>
        <w:pStyle w:val="133"/>
        <w:rPr>
          <w:rFonts w:hint="eastAsia"/>
        </w:rPr>
      </w:pPr>
      <w:r>
        <w:rPr>
          <w:rFonts w:hint="eastAsia"/>
        </w:rPr>
        <w:t>法律和合同事宜；</w:t>
      </w:r>
    </w:p>
    <w:p>
      <w:pPr>
        <w:pStyle w:val="133"/>
        <w:rPr>
          <w:rFonts w:hint="eastAsia"/>
        </w:rPr>
      </w:pPr>
      <w:r>
        <w:rPr>
          <w:rFonts w:hint="eastAsia"/>
        </w:rPr>
        <w:t>最终评估；</w:t>
      </w:r>
    </w:p>
    <w:p>
      <w:pPr>
        <w:pStyle w:val="133"/>
        <w:rPr>
          <w:rFonts w:hint="eastAsia"/>
        </w:rPr>
      </w:pPr>
      <w:r>
        <w:rPr>
          <w:rFonts w:hint="eastAsia"/>
        </w:rPr>
        <w:t>改进；</w:t>
      </w:r>
    </w:p>
    <w:p>
      <w:pPr>
        <w:pStyle w:val="133"/>
        <w:rPr>
          <w:rFonts w:hint="eastAsia"/>
        </w:rPr>
      </w:pPr>
      <w:r>
        <w:rPr>
          <w:rFonts w:hint="eastAsia"/>
        </w:rPr>
        <w:t>行政事项；</w:t>
      </w:r>
    </w:p>
    <w:p>
      <w:pPr>
        <w:pStyle w:val="133"/>
        <w:rPr>
          <w:rFonts w:hint="eastAsia"/>
        </w:rPr>
      </w:pPr>
      <w:r>
        <w:rPr>
          <w:rFonts w:hint="eastAsia"/>
        </w:rPr>
        <w:t>沟通；</w:t>
      </w:r>
    </w:p>
    <w:p>
      <w:pPr>
        <w:pStyle w:val="133"/>
        <w:rPr>
          <w:rFonts w:hint="eastAsia"/>
        </w:rPr>
      </w:pPr>
      <w:r>
        <w:rPr>
          <w:rFonts w:hint="eastAsia"/>
        </w:rPr>
        <w:t>知识产权；</w:t>
      </w:r>
    </w:p>
    <w:p>
      <w:pPr>
        <w:pStyle w:val="133"/>
      </w:pPr>
      <w:r>
        <w:rPr>
          <w:rFonts w:hint="eastAsia"/>
        </w:rPr>
        <w:t>其他未尽事宜。</w:t>
      </w:r>
    </w:p>
    <w:p>
      <w:pPr>
        <w:pStyle w:val="165"/>
      </w:pPr>
      <w:r>
        <w:rPr>
          <w:rFonts w:hint="eastAsia"/>
        </w:rPr>
        <w:t>目的</w:t>
      </w:r>
    </w:p>
    <w:p>
      <w:pPr>
        <w:pStyle w:val="57"/>
        <w:ind w:firstLine="420"/>
      </w:pPr>
      <w:r>
        <w:rPr>
          <w:rFonts w:hint="eastAsia"/>
        </w:rPr>
        <w:t>结项阶段的目的就是在按照协议完成服务交付后</w:t>
      </w:r>
      <w:r>
        <w:rPr>
          <w:rFonts w:hint="eastAsia"/>
          <w:lang w:eastAsia="zh-CN"/>
        </w:rPr>
        <w:t>，</w:t>
      </w:r>
      <w:r>
        <w:rPr>
          <w:rFonts w:hint="eastAsia"/>
        </w:rPr>
        <w:t>有序地结束任务。</w:t>
      </w:r>
    </w:p>
    <w:p>
      <w:pPr>
        <w:pStyle w:val="165"/>
      </w:pPr>
      <w:r>
        <w:rPr>
          <w:rFonts w:hint="eastAsia"/>
        </w:rPr>
        <w:t>输入</w:t>
      </w:r>
    </w:p>
    <w:p>
      <w:pPr>
        <w:pStyle w:val="57"/>
        <w:ind w:firstLine="420"/>
        <w:rPr>
          <w:rFonts w:hint="eastAsia"/>
        </w:rPr>
      </w:pPr>
      <w:r>
        <w:rPr>
          <w:rFonts w:hint="eastAsia"/>
        </w:rPr>
        <w:t>当确定任务完成时结项过程便开始</w:t>
      </w:r>
      <w:r>
        <w:rPr>
          <w:rFonts w:hint="eastAsia"/>
          <w:lang w:eastAsia="zh-CN"/>
        </w:rPr>
        <w:t>，</w:t>
      </w:r>
      <w:r>
        <w:rPr>
          <w:rFonts w:hint="eastAsia"/>
        </w:rPr>
        <w:t>实际通常是在既定服务交付和验收后。</w:t>
      </w:r>
    </w:p>
    <w:p>
      <w:pPr>
        <w:pStyle w:val="165"/>
      </w:pPr>
      <w:r>
        <w:rPr>
          <w:rFonts w:hint="eastAsia"/>
        </w:rPr>
        <w:t>结果</w:t>
      </w:r>
    </w:p>
    <w:p>
      <w:pPr>
        <w:pStyle w:val="57"/>
        <w:ind w:firstLine="420"/>
        <w:rPr>
          <w:rFonts w:hint="eastAsia"/>
        </w:rPr>
      </w:pPr>
      <w:r>
        <w:rPr>
          <w:rFonts w:hint="eastAsia"/>
        </w:rPr>
        <w:t>结项过程会导致一些结果，包括但不限于：</w:t>
      </w:r>
    </w:p>
    <w:p>
      <w:pPr>
        <w:pStyle w:val="133"/>
        <w:rPr>
          <w:rFonts w:hint="eastAsia"/>
        </w:rPr>
      </w:pPr>
      <w:r>
        <w:rPr>
          <w:rFonts w:hint="eastAsia"/>
        </w:rPr>
        <w:t>解除各方在协议中的义务；</w:t>
      </w:r>
    </w:p>
    <w:p>
      <w:pPr>
        <w:pStyle w:val="133"/>
        <w:rPr>
          <w:rFonts w:hint="eastAsia"/>
        </w:rPr>
      </w:pPr>
      <w:r>
        <w:rPr>
          <w:rFonts w:hint="eastAsia"/>
        </w:rPr>
        <w:t>对所有利益相关方</w:t>
      </w:r>
      <w:r>
        <w:rPr>
          <w:rFonts w:hint="eastAsia"/>
          <w:lang w:eastAsia="zh-CN"/>
        </w:rPr>
        <w:t>，</w:t>
      </w:r>
      <w:r>
        <w:rPr>
          <w:rFonts w:hint="eastAsia"/>
        </w:rPr>
        <w:t>特别是管理咨询服务提供方与客户之间的后续义务</w:t>
      </w:r>
      <w:r>
        <w:rPr>
          <w:rFonts w:hint="eastAsia"/>
          <w:lang w:eastAsia="zh-CN"/>
        </w:rPr>
        <w:t>（</w:t>
      </w:r>
      <w:r>
        <w:rPr>
          <w:rFonts w:hint="eastAsia"/>
        </w:rPr>
        <w:t>例如保证、保密、数据保护、知识产权、未尽事宜等</w:t>
      </w:r>
      <w:r>
        <w:rPr>
          <w:rFonts w:hint="eastAsia"/>
          <w:lang w:eastAsia="zh-CN"/>
        </w:rPr>
        <w:t>）</w:t>
      </w:r>
      <w:r>
        <w:rPr>
          <w:rFonts w:hint="eastAsia"/>
        </w:rPr>
        <w:t>达成共识；</w:t>
      </w:r>
    </w:p>
    <w:p>
      <w:pPr>
        <w:pStyle w:val="133"/>
      </w:pPr>
      <w:r>
        <w:rPr>
          <w:rFonts w:hint="eastAsia"/>
        </w:rPr>
        <w:t>发票处理、费用报销等</w:t>
      </w:r>
      <w:r>
        <w:rPr>
          <w:rFonts w:hint="eastAsia"/>
          <w:lang w:eastAsia="zh-CN"/>
        </w:rPr>
        <w:t>。</w:t>
      </w:r>
    </w:p>
    <w:p>
      <w:pPr>
        <w:pStyle w:val="66"/>
        <w:spacing w:before="120" w:after="120"/>
      </w:pPr>
      <w:r>
        <w:rPr>
          <w:rFonts w:hint="eastAsia"/>
        </w:rPr>
        <w:t>项目总结</w:t>
      </w:r>
    </w:p>
    <w:p>
      <w:pPr>
        <w:pStyle w:val="57"/>
        <w:ind w:firstLine="420"/>
        <w:rPr>
          <w:rFonts w:hint="eastAsia"/>
        </w:rPr>
      </w:pPr>
      <w:r>
        <w:rPr>
          <w:rFonts w:hint="eastAsia"/>
        </w:rPr>
        <w:t>管理咨询项目结束后，管理咨询服务提供方组织相关人员进行总结。项目总结包括但不限于：</w:t>
      </w:r>
    </w:p>
    <w:p>
      <w:pPr>
        <w:pStyle w:val="175"/>
        <w:numPr>
          <w:ilvl w:val="0"/>
          <w:numId w:val="41"/>
        </w:numPr>
        <w:rPr>
          <w:rFonts w:hint="eastAsia"/>
        </w:rPr>
      </w:pPr>
      <w:r>
        <w:rPr>
          <w:rFonts w:hint="eastAsia"/>
        </w:rPr>
        <w:t>基于数字化供应链管理咨询项目的策划、实施、评估等资料，进行综合总结；</w:t>
      </w:r>
    </w:p>
    <w:p>
      <w:pPr>
        <w:pStyle w:val="175"/>
        <w:rPr>
          <w:rFonts w:hint="eastAsia"/>
        </w:rPr>
      </w:pPr>
      <w:r>
        <w:rPr>
          <w:rFonts w:hint="eastAsia"/>
        </w:rPr>
        <w:t>对接受方反馈、诊断准确性、方案修订、实施偏差及修正、实施过程中管理咨询师的表现等信息进行综合整理，编撰总结报告；</w:t>
      </w:r>
    </w:p>
    <w:p>
      <w:pPr>
        <w:pStyle w:val="175"/>
        <w:rPr>
          <w:rFonts w:hint="eastAsia"/>
        </w:rPr>
      </w:pPr>
      <w:r>
        <w:rPr>
          <w:rFonts w:hint="eastAsia"/>
        </w:rPr>
        <w:t>总结报告通过内部评审后，管理咨询项目的过程文件和评估报告归档管理；</w:t>
      </w:r>
    </w:p>
    <w:p>
      <w:pPr>
        <w:pStyle w:val="175"/>
      </w:pPr>
      <w:r>
        <w:rPr>
          <w:rFonts w:hint="eastAsia"/>
        </w:rPr>
        <w:t>当管理咨询项目涉及技术实现，宜在项目验收时同步验收技术实现的成果。</w:t>
      </w:r>
    </w:p>
    <w:p>
      <w:pPr>
        <w:pStyle w:val="66"/>
        <w:spacing w:before="120" w:after="120"/>
      </w:pPr>
      <w:r>
        <w:rPr>
          <w:rFonts w:hint="eastAsia"/>
        </w:rPr>
        <w:t>行政事务</w:t>
      </w:r>
    </w:p>
    <w:p>
      <w:pPr>
        <w:pStyle w:val="57"/>
        <w:ind w:firstLine="420"/>
        <w:rPr>
          <w:rFonts w:hint="eastAsia"/>
        </w:rPr>
      </w:pPr>
      <w:r>
        <w:rPr>
          <w:rFonts w:hint="eastAsia"/>
        </w:rPr>
        <w:t>管理咨询服务提供方宜</w:t>
      </w:r>
      <w:r>
        <w:rPr>
          <w:rFonts w:hint="eastAsia"/>
          <w:lang w:eastAsia="zh-CN"/>
        </w:rPr>
        <w:t>开展有效的工作，</w:t>
      </w:r>
      <w:r>
        <w:rPr>
          <w:rFonts w:hint="eastAsia"/>
        </w:rPr>
        <w:t>以确保及时有效地处理所有行政事务。这些</w:t>
      </w:r>
      <w:r>
        <w:rPr>
          <w:rFonts w:hint="eastAsia"/>
          <w:lang w:eastAsia="zh-CN"/>
        </w:rPr>
        <w:t>工作</w:t>
      </w:r>
      <w:r>
        <w:rPr>
          <w:rFonts w:hint="eastAsia"/>
        </w:rPr>
        <w:t>过程包括但不限于：</w:t>
      </w:r>
    </w:p>
    <w:p>
      <w:pPr>
        <w:pStyle w:val="57"/>
        <w:ind w:firstLine="420"/>
        <w:rPr>
          <w:rFonts w:hint="eastAsia" w:eastAsia="宋体"/>
          <w:lang w:eastAsia="zh-CN"/>
        </w:rPr>
      </w:pPr>
      <w:r>
        <w:rPr>
          <w:rFonts w:hint="eastAsia"/>
        </w:rPr>
        <w:t>——索引、归档、存档</w:t>
      </w:r>
      <w:r>
        <w:rPr>
          <w:rFonts w:hint="eastAsia"/>
          <w:lang w:eastAsia="zh-CN"/>
        </w:rPr>
        <w:t>；</w:t>
      </w:r>
    </w:p>
    <w:p>
      <w:pPr>
        <w:pStyle w:val="57"/>
        <w:ind w:firstLine="420"/>
        <w:rPr>
          <w:rFonts w:hint="eastAsia" w:eastAsia="宋体"/>
          <w:lang w:eastAsia="zh-CN"/>
        </w:rPr>
      </w:pPr>
      <w:r>
        <w:rPr>
          <w:rFonts w:hint="eastAsia"/>
        </w:rPr>
        <w:t>——备份数据和记录</w:t>
      </w:r>
      <w:r>
        <w:rPr>
          <w:rFonts w:hint="eastAsia"/>
          <w:lang w:eastAsia="zh-CN"/>
        </w:rPr>
        <w:t>；</w:t>
      </w:r>
    </w:p>
    <w:p>
      <w:pPr>
        <w:pStyle w:val="57"/>
        <w:ind w:firstLine="420"/>
        <w:rPr>
          <w:rFonts w:hint="eastAsia" w:eastAsia="宋体"/>
          <w:lang w:eastAsia="zh-CN"/>
        </w:rPr>
      </w:pPr>
      <w:r>
        <w:rPr>
          <w:rFonts w:hint="eastAsia"/>
        </w:rPr>
        <w:t>——返还接受方财产、设备和设施</w:t>
      </w:r>
      <w:r>
        <w:rPr>
          <w:rFonts w:hint="eastAsia"/>
          <w:lang w:eastAsia="zh-CN"/>
        </w:rPr>
        <w:t>，</w:t>
      </w:r>
      <w:r>
        <w:rPr>
          <w:rFonts w:hint="eastAsia"/>
        </w:rPr>
        <w:t>如文件、记录、数据、安全通行证</w:t>
      </w:r>
      <w:r>
        <w:rPr>
          <w:rFonts w:hint="eastAsia"/>
          <w:lang w:eastAsia="zh-CN"/>
        </w:rPr>
        <w:t>；</w:t>
      </w:r>
    </w:p>
    <w:p>
      <w:pPr>
        <w:pStyle w:val="57"/>
        <w:ind w:firstLine="420"/>
        <w:rPr>
          <w:rFonts w:hint="eastAsia" w:eastAsia="宋体"/>
          <w:lang w:eastAsia="zh-CN"/>
        </w:rPr>
      </w:pPr>
      <w:r>
        <w:rPr>
          <w:rFonts w:hint="eastAsia"/>
        </w:rPr>
        <w:t>——发布/招聘外部分包商和内部资源</w:t>
      </w:r>
      <w:r>
        <w:rPr>
          <w:rFonts w:hint="eastAsia"/>
          <w:lang w:eastAsia="zh-CN"/>
        </w:rPr>
        <w:t>；</w:t>
      </w:r>
    </w:p>
    <w:p>
      <w:pPr>
        <w:pStyle w:val="57"/>
        <w:ind w:firstLine="420"/>
      </w:pPr>
      <w:r>
        <w:rPr>
          <w:rFonts w:hint="eastAsia"/>
        </w:rPr>
        <w:t>——完成内部质量保证程序。</w:t>
      </w:r>
    </w:p>
    <w:p>
      <w:pPr>
        <w:pStyle w:val="66"/>
        <w:spacing w:before="120" w:after="120"/>
      </w:pPr>
      <w:r>
        <w:rPr>
          <w:rFonts w:hint="eastAsia"/>
        </w:rPr>
        <w:t>沟通</w:t>
      </w:r>
    </w:p>
    <w:p>
      <w:pPr>
        <w:pStyle w:val="57"/>
        <w:ind w:firstLine="420"/>
      </w:pPr>
      <w:r>
        <w:rPr>
          <w:rFonts w:hint="eastAsia"/>
        </w:rPr>
        <w:t>管理咨询服务提供方宜确保履行有关任务完成的沟通义务</w:t>
      </w:r>
      <w:r>
        <w:rPr>
          <w:rFonts w:hint="eastAsia"/>
          <w:lang w:eastAsia="zh-CN"/>
        </w:rPr>
        <w:t>，</w:t>
      </w:r>
      <w:r>
        <w:rPr>
          <w:rFonts w:hint="eastAsia"/>
        </w:rPr>
        <w:t>如保密协议、案例研究的准备、学术文章、需要的参考资料等。管理咨询服务提供方宜确保在任务结束时向客户汇报情况。</w:t>
      </w:r>
    </w:p>
    <w:p>
      <w:pPr>
        <w:pStyle w:val="66"/>
        <w:spacing w:before="120" w:after="120"/>
        <w:rPr>
          <w:rFonts w:hint="eastAsia"/>
        </w:rPr>
      </w:pPr>
      <w:r>
        <w:rPr>
          <w:rFonts w:hint="eastAsia"/>
        </w:rPr>
        <w:t>其他事宜</w:t>
      </w:r>
    </w:p>
    <w:p>
      <w:pPr>
        <w:pStyle w:val="57"/>
        <w:ind w:firstLine="420"/>
      </w:pPr>
      <w:r>
        <w:rPr>
          <w:rFonts w:hint="eastAsia"/>
        </w:rPr>
        <w:t>管理咨询服务提供方宜与客户达成一致</w:t>
      </w:r>
      <w:r>
        <w:rPr>
          <w:rFonts w:hint="eastAsia"/>
          <w:lang w:eastAsia="zh-CN"/>
        </w:rPr>
        <w:t>，</w:t>
      </w:r>
      <w:r>
        <w:rPr>
          <w:rFonts w:hint="eastAsia"/>
        </w:rPr>
        <w:t>处理完成任务之后的所有未尽事宜</w:t>
      </w:r>
      <w:r>
        <w:rPr>
          <w:rFonts w:hint="eastAsia"/>
          <w:lang w:eastAsia="zh-CN"/>
        </w:rPr>
        <w:t>，</w:t>
      </w:r>
      <w:r>
        <w:rPr>
          <w:rFonts w:hint="eastAsia"/>
        </w:rPr>
        <w:t>以便能够实现结项。</w:t>
      </w:r>
    </w:p>
    <w:p>
      <w:pPr>
        <w:pStyle w:val="106"/>
        <w:spacing w:before="120" w:after="120"/>
      </w:pPr>
      <w:bookmarkStart w:id="68" w:name="_Toc190187258"/>
      <w:r>
        <w:rPr>
          <w:rFonts w:hint="eastAsia"/>
        </w:rPr>
        <w:t>交付后服务</w:t>
      </w:r>
      <w:bookmarkEnd w:id="68"/>
    </w:p>
    <w:p>
      <w:pPr>
        <w:pStyle w:val="57"/>
        <w:rPr>
          <w:rFonts w:hint="eastAsia"/>
        </w:rPr>
      </w:pPr>
      <w:r>
        <w:rPr>
          <w:rFonts w:hint="eastAsia"/>
        </w:rPr>
        <w:t>可选择的服务内容，包括但不限于：</w:t>
      </w:r>
    </w:p>
    <w:p>
      <w:pPr>
        <w:pStyle w:val="57"/>
        <w:numPr>
          <w:ilvl w:val="0"/>
          <w:numId w:val="42"/>
        </w:numPr>
        <w:rPr>
          <w:rFonts w:hint="default" w:eastAsia="宋体"/>
          <w:lang w:val="en-US" w:eastAsia="zh-CN"/>
        </w:rPr>
      </w:pPr>
      <w:r>
        <w:rPr>
          <w:rFonts w:hint="eastAsia"/>
        </w:rPr>
        <w:t>客户支持与服务</w:t>
      </w:r>
    </w:p>
    <w:p>
      <w:pPr>
        <w:pStyle w:val="133"/>
        <w:rPr>
          <w:rFonts w:hint="eastAsia"/>
        </w:rPr>
      </w:pPr>
      <w:r>
        <w:rPr>
          <w:rFonts w:hint="eastAsia"/>
        </w:rPr>
        <w:t>提供客户服务热线或在线支持平台；</w:t>
      </w:r>
    </w:p>
    <w:p>
      <w:pPr>
        <w:pStyle w:val="133"/>
        <w:rPr>
          <w:rFonts w:hint="eastAsia"/>
        </w:rPr>
      </w:pPr>
      <w:r>
        <w:rPr>
          <w:rFonts w:hint="eastAsia"/>
        </w:rPr>
        <w:t>解答使用中的疑问和问题</w:t>
      </w:r>
      <w:r>
        <w:rPr>
          <w:rFonts w:hint="eastAsia"/>
          <w:lang w:eastAsia="zh-CN"/>
        </w:rPr>
        <w:t>。</w:t>
      </w:r>
    </w:p>
    <w:p>
      <w:pPr>
        <w:pStyle w:val="57"/>
        <w:numPr>
          <w:ilvl w:val="0"/>
          <w:numId w:val="42"/>
        </w:numPr>
        <w:ind w:left="0" w:leftChars="0" w:firstLine="420" w:firstLineChars="200"/>
        <w:rPr>
          <w:rFonts w:hint="default" w:eastAsia="宋体"/>
          <w:lang w:val="en-US" w:eastAsia="zh-CN"/>
        </w:rPr>
      </w:pPr>
      <w:r>
        <w:rPr>
          <w:rFonts w:hint="eastAsia"/>
        </w:rPr>
        <w:t>数字化供应链系统维护与更新</w:t>
      </w:r>
    </w:p>
    <w:p>
      <w:pPr>
        <w:pStyle w:val="133"/>
        <w:rPr>
          <w:rFonts w:hint="eastAsia"/>
        </w:rPr>
      </w:pPr>
      <w:r>
        <w:rPr>
          <w:rFonts w:hint="eastAsia"/>
        </w:rPr>
        <w:t>定期检查系统的性能，确保所有组件正常运行；</w:t>
      </w:r>
    </w:p>
    <w:p>
      <w:pPr>
        <w:pStyle w:val="133"/>
        <w:rPr>
          <w:rFonts w:hint="eastAsia"/>
        </w:rPr>
      </w:pPr>
      <w:r>
        <w:rPr>
          <w:rFonts w:hint="eastAsia"/>
        </w:rPr>
        <w:t>根据技术发展和客户需求，进行软件的版本更新和功能增强。</w:t>
      </w:r>
    </w:p>
    <w:p>
      <w:pPr>
        <w:pStyle w:val="57"/>
        <w:numPr>
          <w:ilvl w:val="0"/>
          <w:numId w:val="42"/>
        </w:numPr>
        <w:ind w:left="0" w:leftChars="0" w:firstLine="420" w:firstLineChars="200"/>
        <w:rPr>
          <w:rFonts w:hint="default" w:eastAsia="宋体"/>
          <w:lang w:val="en-US" w:eastAsia="zh-CN"/>
        </w:rPr>
      </w:pPr>
      <w:r>
        <w:rPr>
          <w:rFonts w:hint="eastAsia"/>
        </w:rPr>
        <w:t>培训与教育</w:t>
      </w:r>
    </w:p>
    <w:p>
      <w:pPr>
        <w:pStyle w:val="133"/>
        <w:rPr>
          <w:rFonts w:hint="eastAsia"/>
        </w:rPr>
      </w:pPr>
      <w:r>
        <w:rPr>
          <w:rFonts w:hint="eastAsia"/>
        </w:rPr>
        <w:t>定期举办用户培训工作会或网络研讨会，提升客户对供应链系统的使用熟练度和效率；</w:t>
      </w:r>
    </w:p>
    <w:p>
      <w:pPr>
        <w:pStyle w:val="57"/>
        <w:rPr>
          <w:rFonts w:hint="eastAsia"/>
        </w:rPr>
      </w:pPr>
      <w:r>
        <w:rPr>
          <w:rFonts w:hint="eastAsia"/>
        </w:rPr>
        <w:t>提供定制化的培训计划，满足不同客户的特定需求。</w:t>
      </w:r>
    </w:p>
    <w:p>
      <w:pPr>
        <w:pStyle w:val="57"/>
        <w:numPr>
          <w:ilvl w:val="0"/>
          <w:numId w:val="0"/>
        </w:numPr>
        <w:ind w:firstLine="420" w:firstLineChars="200"/>
        <w:rPr>
          <w:rFonts w:hint="default" w:eastAsia="宋体"/>
          <w:lang w:val="en-US" w:eastAsia="zh-CN"/>
        </w:rPr>
      </w:pPr>
      <w:r>
        <w:rPr>
          <w:rFonts w:hint="eastAsia"/>
          <w:lang w:val="en-US" w:eastAsia="zh-CN"/>
        </w:rPr>
        <w:t xml:space="preserve">d) </w:t>
      </w:r>
      <w:r>
        <w:rPr>
          <w:rFonts w:hint="eastAsia"/>
        </w:rPr>
        <w:t>性能监测与优化</w:t>
      </w:r>
    </w:p>
    <w:p>
      <w:pPr>
        <w:pStyle w:val="133"/>
        <w:rPr>
          <w:rFonts w:hint="eastAsia"/>
        </w:rPr>
      </w:pPr>
      <w:r>
        <w:rPr>
          <w:rFonts w:hint="eastAsia"/>
        </w:rPr>
        <w:t>利用先进的分析工具监测系统性能，识别潜在的供应链瓶颈和改进点；</w:t>
      </w:r>
    </w:p>
    <w:p>
      <w:pPr>
        <w:pStyle w:val="133"/>
      </w:pPr>
      <w:r>
        <w:rPr>
          <w:rFonts w:hint="eastAsia"/>
        </w:rPr>
        <w:t>根据监测结果调整系统配置，优化操作流程，提高效率和响应速度。</w:t>
      </w:r>
    </w:p>
    <w:p>
      <w:pPr>
        <w:pStyle w:val="57"/>
        <w:rPr>
          <w:rFonts w:hint="default" w:eastAsia="宋体"/>
          <w:lang w:val="en-US" w:eastAsia="zh-CN"/>
        </w:rPr>
      </w:pPr>
      <w:r>
        <w:rPr>
          <w:rFonts w:hint="eastAsia"/>
          <w:lang w:val="en-US" w:eastAsia="zh-CN"/>
        </w:rPr>
        <w:t xml:space="preserve">e) </w:t>
      </w:r>
      <w:r>
        <w:rPr>
          <w:rFonts w:hint="eastAsia"/>
        </w:rPr>
        <w:t>问题解决与故障排除</w:t>
      </w:r>
    </w:p>
    <w:p>
      <w:pPr>
        <w:pStyle w:val="133"/>
        <w:rPr>
          <w:rFonts w:hint="eastAsia"/>
        </w:rPr>
      </w:pPr>
      <w:r>
        <w:rPr>
          <w:rFonts w:hint="eastAsia"/>
        </w:rPr>
        <w:t>快速响应客户的故障报告，通过电话、远程桌面或现场服务解决问题；</w:t>
      </w:r>
    </w:p>
    <w:p>
      <w:pPr>
        <w:pStyle w:val="133"/>
      </w:pPr>
      <w:r>
        <w:rPr>
          <w:rFonts w:hint="eastAsia"/>
        </w:rPr>
        <w:t>提供详尽的问题诊断和解决方案，减少系统停机时间。</w:t>
      </w:r>
    </w:p>
    <w:p>
      <w:pPr>
        <w:pStyle w:val="105"/>
        <w:spacing w:before="240" w:after="240"/>
      </w:pPr>
      <w:bookmarkStart w:id="69" w:name="_Toc190187290"/>
      <w:bookmarkStart w:id="70" w:name="_Toc190187259"/>
      <w:r>
        <w:rPr>
          <w:rFonts w:hint="eastAsia"/>
        </w:rPr>
        <w:t>技术实现的工具和方法</w:t>
      </w:r>
      <w:bookmarkEnd w:id="69"/>
      <w:bookmarkEnd w:id="70"/>
    </w:p>
    <w:p>
      <w:pPr>
        <w:pStyle w:val="106"/>
        <w:spacing w:before="120" w:after="120"/>
      </w:pPr>
      <w:bookmarkStart w:id="71" w:name="_Toc190187260"/>
      <w:r>
        <w:rPr>
          <w:rFonts w:hint="eastAsia"/>
        </w:rPr>
        <w:t>需求评估</w:t>
      </w:r>
      <w:bookmarkEnd w:id="71"/>
    </w:p>
    <w:p>
      <w:pPr>
        <w:pStyle w:val="166"/>
      </w:pPr>
      <w:r>
        <w:rPr>
          <w:rFonts w:hint="eastAsia"/>
        </w:rPr>
        <w:t>采用机会捕捉工具</w:t>
      </w:r>
      <w:r>
        <w:rPr>
          <w:rFonts w:hint="eastAsia"/>
          <w:strike w:val="0"/>
          <w:dstrike w:val="0"/>
          <w:color w:val="auto"/>
          <w:lang w:eastAsia="zh-CN"/>
        </w:rPr>
        <w:t>开展</w:t>
      </w:r>
      <w:r>
        <w:rPr>
          <w:rFonts w:hint="eastAsia"/>
        </w:rPr>
        <w:t xml:space="preserve">需求分析 </w:t>
      </w:r>
    </w:p>
    <w:p>
      <w:pPr>
        <w:pStyle w:val="57"/>
        <w:ind w:firstLine="420"/>
        <w:rPr>
          <w:rFonts w:hint="eastAsia"/>
        </w:rPr>
      </w:pPr>
      <w:r>
        <w:rPr>
          <w:rFonts w:hint="eastAsia"/>
        </w:rPr>
        <w:t>管理咨询服务提供方在策划数字化供应链管理咨询方案时，考虑采用机会捕捉工具做需求分析，包括但不限于：</w:t>
      </w:r>
    </w:p>
    <w:p>
      <w:pPr>
        <w:pStyle w:val="175"/>
        <w:numPr>
          <w:ilvl w:val="0"/>
          <w:numId w:val="43"/>
        </w:numPr>
        <w:rPr>
          <w:rFonts w:hint="eastAsia"/>
        </w:rPr>
      </w:pPr>
      <w:r>
        <w:rPr>
          <w:rFonts w:hint="eastAsia"/>
        </w:rPr>
        <w:t>SWOT分析</w:t>
      </w:r>
    </w:p>
    <w:p>
      <w:pPr>
        <w:pStyle w:val="110"/>
        <w:numPr>
          <w:ilvl w:val="1"/>
          <w:numId w:val="44"/>
        </w:numPr>
        <w:rPr>
          <w:rFonts w:hint="eastAsia"/>
          <w:color w:val="auto"/>
        </w:rPr>
      </w:pPr>
      <w:r>
        <w:rPr>
          <w:rFonts w:hint="eastAsia"/>
          <w:color w:val="auto"/>
          <w:lang w:eastAsia="zh-CN"/>
        </w:rPr>
        <w:t>评估企业当前供应链的运作模式，包括商流、物流、信息流、供应商关系、资金管理以及客户服务质量、风险管理等方面的现状</w:t>
      </w:r>
      <w:r>
        <w:rPr>
          <w:rFonts w:hint="eastAsia"/>
          <w:color w:val="auto"/>
        </w:rPr>
        <w:t>；</w:t>
      </w:r>
    </w:p>
    <w:p>
      <w:pPr>
        <w:pStyle w:val="110"/>
        <w:numPr>
          <w:ilvl w:val="1"/>
          <w:numId w:val="44"/>
        </w:numPr>
        <w:rPr>
          <w:rFonts w:hint="eastAsia"/>
          <w:color w:val="auto"/>
        </w:rPr>
      </w:pPr>
      <w:r>
        <w:rPr>
          <w:rFonts w:hint="eastAsia"/>
          <w:color w:val="auto"/>
          <w:lang w:eastAsia="zh-CN"/>
        </w:rPr>
        <w:t>收集相关信息和数据，如实现供应链价值创造的数据共享、全链可视、多方协同、智能决策、韧性可控、全局最优情况等</w:t>
      </w:r>
      <w:r>
        <w:rPr>
          <w:rFonts w:hint="eastAsia"/>
          <w:color w:val="auto"/>
        </w:rPr>
        <w:t>；</w:t>
      </w:r>
    </w:p>
    <w:p>
      <w:pPr>
        <w:pStyle w:val="110"/>
        <w:rPr>
          <w:rFonts w:hint="eastAsia"/>
          <w:color w:val="auto"/>
        </w:rPr>
      </w:pPr>
      <w:r>
        <w:rPr>
          <w:rFonts w:hint="eastAsia"/>
          <w:color w:val="auto"/>
          <w:lang w:eastAsia="zh-CN"/>
        </w:rPr>
        <w:t>呈现SWOT矩阵并分析</w:t>
      </w:r>
      <w:r>
        <w:rPr>
          <w:rFonts w:hint="eastAsia"/>
          <w:color w:val="auto"/>
        </w:rPr>
        <w:t>；</w:t>
      </w:r>
    </w:p>
    <w:p>
      <w:pPr>
        <w:pStyle w:val="175"/>
        <w:rPr>
          <w:rFonts w:hint="eastAsia"/>
        </w:rPr>
      </w:pPr>
      <w:r>
        <w:rPr>
          <w:rFonts w:hint="eastAsia"/>
        </w:rPr>
        <w:t>价值链分析</w:t>
      </w:r>
    </w:p>
    <w:p>
      <w:pPr>
        <w:pStyle w:val="110"/>
        <w:numPr>
          <w:ilvl w:val="1"/>
          <w:numId w:val="44"/>
        </w:numPr>
        <w:rPr>
          <w:rFonts w:hint="eastAsia"/>
        </w:rPr>
      </w:pPr>
      <w:r>
        <w:rPr>
          <w:rFonts w:hint="eastAsia"/>
        </w:rPr>
        <w:t>明确数字化供应链战略愿景；</w:t>
      </w:r>
    </w:p>
    <w:p>
      <w:pPr>
        <w:pStyle w:val="110"/>
        <w:numPr>
          <w:ilvl w:val="1"/>
          <w:numId w:val="44"/>
        </w:numPr>
        <w:rPr>
          <w:rFonts w:hint="eastAsia"/>
        </w:rPr>
      </w:pPr>
      <w:r>
        <w:rPr>
          <w:rFonts w:hint="eastAsia"/>
        </w:rPr>
        <w:t>评估数字化供应链成熟度；</w:t>
      </w:r>
    </w:p>
    <w:p>
      <w:pPr>
        <w:pStyle w:val="110"/>
        <w:rPr>
          <w:rFonts w:hint="eastAsia"/>
        </w:rPr>
      </w:pPr>
      <w:r>
        <w:rPr>
          <w:rFonts w:hint="eastAsia"/>
        </w:rPr>
        <w:t>定位价值机会点，基于数字化供应链成熟度评估的结果，把与战略相关的作业、成本、收入和资产分配到有价值的作业中；</w:t>
      </w:r>
    </w:p>
    <w:p>
      <w:pPr>
        <w:pStyle w:val="110"/>
        <w:rPr>
          <w:rFonts w:hint="eastAsia"/>
        </w:rPr>
      </w:pPr>
      <w:r>
        <w:rPr>
          <w:rFonts w:hint="eastAsia"/>
        </w:rPr>
        <w:t>打造转型路线图，根据前面的分析和定位，制定数字化供应链实施计划，即转型路线图。</w:t>
      </w:r>
    </w:p>
    <w:p>
      <w:pPr>
        <w:pStyle w:val="166"/>
      </w:pPr>
      <w:r>
        <w:rPr>
          <w:rFonts w:hint="eastAsia"/>
          <w:lang w:val="en-US" w:eastAsia="zh-CN"/>
        </w:rPr>
        <w:t xml:space="preserve"> 采用信息收集与问题界定工具</w:t>
      </w:r>
      <w:r>
        <w:rPr>
          <w:rFonts w:hint="eastAsia"/>
        </w:rPr>
        <w:t>了解接受方信息</w:t>
      </w:r>
    </w:p>
    <w:p>
      <w:pPr>
        <w:pStyle w:val="165"/>
        <w:rPr>
          <w:rFonts w:hint="eastAsia"/>
        </w:rPr>
      </w:pPr>
      <w:r>
        <w:rPr>
          <w:rFonts w:hint="eastAsia"/>
        </w:rPr>
        <w:t>信息收集与问题界定工具，包括但不限于：</w:t>
      </w:r>
    </w:p>
    <w:p>
      <w:pPr>
        <w:pStyle w:val="133"/>
        <w:rPr>
          <w:rFonts w:hint="eastAsia"/>
        </w:rPr>
      </w:pPr>
      <w:r>
        <w:rPr>
          <w:rFonts w:hint="eastAsia"/>
        </w:rPr>
        <w:t>调查法；</w:t>
      </w:r>
    </w:p>
    <w:p>
      <w:pPr>
        <w:pStyle w:val="133"/>
        <w:rPr>
          <w:rFonts w:hint="eastAsia"/>
        </w:rPr>
      </w:pPr>
      <w:r>
        <w:rPr>
          <w:rFonts w:hint="eastAsia"/>
        </w:rPr>
        <w:t>文献法；</w:t>
      </w:r>
    </w:p>
    <w:p>
      <w:pPr>
        <w:pStyle w:val="133"/>
        <w:rPr>
          <w:rFonts w:hint="eastAsia"/>
        </w:rPr>
      </w:pPr>
      <w:r>
        <w:rPr>
          <w:rFonts w:hint="eastAsia"/>
        </w:rPr>
        <w:t>统计分析；</w:t>
      </w:r>
    </w:p>
    <w:p>
      <w:pPr>
        <w:pStyle w:val="133"/>
        <w:rPr>
          <w:rFonts w:hint="eastAsia"/>
        </w:rPr>
      </w:pPr>
      <w:r>
        <w:rPr>
          <w:rFonts w:hint="eastAsia"/>
        </w:rPr>
        <w:t>数据挖掘技术；</w:t>
      </w:r>
    </w:p>
    <w:p>
      <w:pPr>
        <w:pStyle w:val="133"/>
        <w:rPr>
          <w:rFonts w:hint="eastAsia"/>
        </w:rPr>
      </w:pPr>
      <w:r>
        <w:rPr>
          <w:rFonts w:hint="eastAsia"/>
        </w:rPr>
        <w:t>信息检索技术。</w:t>
      </w:r>
    </w:p>
    <w:p>
      <w:pPr>
        <w:pStyle w:val="165"/>
        <w:rPr>
          <w:rFonts w:hint="eastAsia"/>
        </w:rPr>
      </w:pPr>
      <w:r>
        <w:rPr>
          <w:rFonts w:hint="eastAsia"/>
        </w:rPr>
        <w:t>需了解接受方信息，包括但不限于：</w:t>
      </w:r>
    </w:p>
    <w:p>
      <w:pPr>
        <w:pStyle w:val="175"/>
        <w:numPr>
          <w:ilvl w:val="0"/>
          <w:numId w:val="45"/>
        </w:numPr>
        <w:rPr>
          <w:rFonts w:hint="eastAsia"/>
        </w:rPr>
      </w:pPr>
      <w:r>
        <w:rPr>
          <w:rFonts w:hint="eastAsia"/>
        </w:rPr>
        <w:t>接受方现有信息系统的架构、业务范围和运维支持情况；</w:t>
      </w:r>
    </w:p>
    <w:p>
      <w:pPr>
        <w:pStyle w:val="175"/>
        <w:rPr>
          <w:rFonts w:hint="eastAsia"/>
        </w:rPr>
      </w:pPr>
      <w:r>
        <w:rPr>
          <w:rFonts w:hint="eastAsia"/>
        </w:rPr>
        <w:t>供应链管理中关键要素</w:t>
      </w:r>
      <w:r>
        <w:rPr>
          <w:rFonts w:hint="eastAsia"/>
          <w:lang w:eastAsia="zh-CN"/>
        </w:rPr>
        <w:t>，</w:t>
      </w:r>
      <w:r>
        <w:rPr>
          <w:rFonts w:hint="eastAsia"/>
        </w:rPr>
        <w:t>含管理边界等的规则提炼、数据管理和应用水平；</w:t>
      </w:r>
    </w:p>
    <w:p>
      <w:pPr>
        <w:pStyle w:val="175"/>
        <w:rPr>
          <w:rFonts w:hint="eastAsia"/>
        </w:rPr>
      </w:pPr>
      <w:r>
        <w:rPr>
          <w:rFonts w:hint="eastAsia"/>
        </w:rPr>
        <w:t>与管理咨询方案相对应的管理、运营流程要保持相对稳定；</w:t>
      </w:r>
    </w:p>
    <w:p>
      <w:pPr>
        <w:pStyle w:val="175"/>
        <w:rPr>
          <w:rFonts w:hint="eastAsia"/>
        </w:rPr>
      </w:pPr>
      <w:r>
        <w:rPr>
          <w:rFonts w:hint="eastAsia"/>
        </w:rPr>
        <w:t>数字化技术和智能应用的能力、算法模型的应用情况；</w:t>
      </w:r>
    </w:p>
    <w:p>
      <w:pPr>
        <w:pStyle w:val="175"/>
      </w:pPr>
      <w:r>
        <w:rPr>
          <w:rFonts w:hint="eastAsia"/>
        </w:rPr>
        <w:t>确保管理咨询成果得以固化的意愿和能力；</w:t>
      </w:r>
    </w:p>
    <w:p>
      <w:pPr>
        <w:pStyle w:val="175"/>
        <w:rPr>
          <w:rFonts w:hint="eastAsia"/>
        </w:rPr>
      </w:pPr>
      <w:r>
        <w:rPr>
          <w:rFonts w:hint="eastAsia"/>
        </w:rPr>
        <w:t>决策层借助技术实现的方法来确保管理咨询成果得以固化的决心；</w:t>
      </w:r>
    </w:p>
    <w:p>
      <w:pPr>
        <w:pStyle w:val="175"/>
      </w:pPr>
      <w:r>
        <w:rPr>
          <w:rFonts w:hint="eastAsia"/>
        </w:rPr>
        <w:t>风险预警。</w:t>
      </w:r>
    </w:p>
    <w:p>
      <w:pPr>
        <w:pStyle w:val="106"/>
        <w:spacing w:before="120" w:after="120"/>
      </w:pPr>
      <w:bookmarkStart w:id="72" w:name="_Toc190187261"/>
      <w:r>
        <w:rPr>
          <w:rFonts w:hint="eastAsia"/>
        </w:rPr>
        <w:t>技术策划</w:t>
      </w:r>
      <w:bookmarkEnd w:id="72"/>
    </w:p>
    <w:p>
      <w:pPr>
        <w:pStyle w:val="166"/>
      </w:pPr>
      <w:r>
        <w:rPr>
          <w:rFonts w:hint="eastAsia"/>
          <w:strike w:val="0"/>
          <w:dstrike w:val="0"/>
          <w:color w:val="auto"/>
          <w:lang w:eastAsia="zh-CN"/>
        </w:rPr>
        <w:t>采用决策工具形成数字化供应链系统开展</w:t>
      </w:r>
      <w:r>
        <w:rPr>
          <w:rFonts w:hint="eastAsia"/>
        </w:rPr>
        <w:t>顶层设计</w:t>
      </w:r>
    </w:p>
    <w:p>
      <w:pPr>
        <w:pStyle w:val="57"/>
        <w:ind w:firstLine="420"/>
        <w:rPr>
          <w:rFonts w:hint="eastAsia"/>
        </w:rPr>
      </w:pPr>
      <w:r>
        <w:rPr>
          <w:rFonts w:hint="eastAsia"/>
        </w:rPr>
        <w:t>结合接受方需求引入数字化供应链管理咨询的领域、范围、重点和目标，管理咨询服务提供方要与接受方共同设计数字化供应链系统整体技术实现框架，整理现有系统与未来规划系统的类别和功能模块，形成顶层设计规划。决策工具，包括但不限于：</w:t>
      </w:r>
    </w:p>
    <w:p>
      <w:pPr>
        <w:pStyle w:val="57"/>
        <w:ind w:firstLine="420"/>
        <w:rPr>
          <w:rFonts w:hint="eastAsia"/>
        </w:rPr>
      </w:pPr>
      <w:r>
        <w:rPr>
          <w:rFonts w:hint="eastAsia"/>
        </w:rPr>
        <w:t>——5W2H分析法；</w:t>
      </w:r>
    </w:p>
    <w:p>
      <w:pPr>
        <w:pStyle w:val="57"/>
        <w:ind w:firstLine="420"/>
        <w:rPr>
          <w:rFonts w:hint="eastAsia"/>
        </w:rPr>
      </w:pPr>
      <w:r>
        <w:rPr>
          <w:rFonts w:hint="eastAsia"/>
        </w:rPr>
        <w:t>——PDCA循环法；</w:t>
      </w:r>
    </w:p>
    <w:p>
      <w:pPr>
        <w:pStyle w:val="57"/>
        <w:ind w:firstLine="420"/>
        <w:rPr>
          <w:rFonts w:hint="eastAsia"/>
        </w:rPr>
      </w:pPr>
      <w:r>
        <w:rPr>
          <w:rFonts w:hint="eastAsia"/>
        </w:rPr>
        <w:t>——波特五力分析法；</w:t>
      </w:r>
    </w:p>
    <w:p>
      <w:pPr>
        <w:pStyle w:val="57"/>
        <w:ind w:firstLine="420"/>
        <w:rPr>
          <w:rFonts w:hint="eastAsia"/>
        </w:rPr>
      </w:pPr>
      <w:r>
        <w:rPr>
          <w:rFonts w:hint="eastAsia"/>
        </w:rPr>
        <w:t>——决策树分析法；</w:t>
      </w:r>
    </w:p>
    <w:p>
      <w:pPr>
        <w:pStyle w:val="57"/>
        <w:ind w:firstLine="420"/>
      </w:pPr>
      <w:r>
        <w:rPr>
          <w:rFonts w:hint="eastAsia"/>
        </w:rPr>
        <w:t>——思维导图法。</w:t>
      </w:r>
    </w:p>
    <w:p>
      <w:pPr>
        <w:pStyle w:val="166"/>
      </w:pPr>
      <w:r>
        <w:rPr>
          <w:rFonts w:hint="eastAsia"/>
        </w:rPr>
        <w:t>采用过程管理工具</w:t>
      </w:r>
      <w:r>
        <w:rPr>
          <w:rFonts w:hint="eastAsia"/>
          <w:lang w:val="en-US" w:eastAsia="zh-CN"/>
        </w:rPr>
        <w:t>-</w:t>
      </w:r>
      <w:r>
        <w:rPr>
          <w:rFonts w:hint="eastAsia"/>
        </w:rPr>
        <w:t>技术路线图实施过程管理</w:t>
      </w:r>
    </w:p>
    <w:p>
      <w:pPr>
        <w:pStyle w:val="57"/>
        <w:ind w:firstLine="420"/>
        <w:rPr>
          <w:rFonts w:hint="eastAsia"/>
        </w:rPr>
      </w:pPr>
      <w:r>
        <w:rPr>
          <w:rFonts w:hint="eastAsia"/>
        </w:rPr>
        <w:t>根据管理咨询的需求，管理咨询服务提供方要与接受方共同明确战略目标到执行目标的拆解和技术实现方法和路径，形成易于理解和呈现、保持敏捷性的技术路线图，通过决策智能化指导供应链执行数字化。技术路线图的内容，包括但不限于：</w:t>
      </w:r>
    </w:p>
    <w:p>
      <w:pPr>
        <w:pStyle w:val="175"/>
        <w:numPr>
          <w:ilvl w:val="0"/>
          <w:numId w:val="46"/>
        </w:numPr>
        <w:rPr>
          <w:rFonts w:hint="eastAsia"/>
        </w:rPr>
      </w:pPr>
      <w:r>
        <w:rPr>
          <w:rFonts w:hint="eastAsia"/>
        </w:rPr>
        <w:t>技术目标，作为技术路线图的核心，明确数字化供应链技术实现的</w:t>
      </w:r>
      <w:r>
        <w:rPr>
          <w:rFonts w:hint="eastAsia"/>
          <w:lang w:eastAsia="zh-CN"/>
        </w:rPr>
        <w:t>价值创造</w:t>
      </w:r>
      <w:r>
        <w:rPr>
          <w:rFonts w:hint="eastAsia"/>
        </w:rPr>
        <w:t>目标；</w:t>
      </w:r>
    </w:p>
    <w:p>
      <w:pPr>
        <w:pStyle w:val="175"/>
        <w:rPr>
          <w:rFonts w:hint="eastAsia"/>
        </w:rPr>
      </w:pPr>
      <w:r>
        <w:rPr>
          <w:rFonts w:hint="eastAsia"/>
        </w:rPr>
        <w:t>技术路径，包括但不限于研发计划、产品开发计划、技术合作计划等。每个步骤详细说明所需的技术和任务；</w:t>
      </w:r>
    </w:p>
    <w:p>
      <w:pPr>
        <w:pStyle w:val="175"/>
        <w:rPr>
          <w:rFonts w:hint="eastAsia"/>
        </w:rPr>
      </w:pPr>
      <w:r>
        <w:rPr>
          <w:rFonts w:hint="eastAsia"/>
        </w:rPr>
        <w:t>时间进度，包括但不限于各个阶段的开始和结束日期，以及关键里程碑。明确指出每个任务的预期完成日期，并允许一定的灵活性以应对未知情况；</w:t>
      </w:r>
    </w:p>
    <w:p>
      <w:pPr>
        <w:pStyle w:val="175"/>
      </w:pPr>
      <w:r>
        <w:rPr>
          <w:rFonts w:hint="eastAsia"/>
        </w:rPr>
        <w:t>资源</w:t>
      </w:r>
      <w:r>
        <w:rPr>
          <w:rFonts w:hint="eastAsia"/>
          <w:lang w:eastAsia="zh-CN"/>
        </w:rPr>
        <w:t>配置</w:t>
      </w:r>
      <w:r>
        <w:rPr>
          <w:rFonts w:hint="eastAsia"/>
        </w:rPr>
        <w:t>，包括但不限于人力、资金、设备等，详细列出每个任务所需的资源，并进行优化以避免浪费；</w:t>
      </w:r>
    </w:p>
    <w:p>
      <w:pPr>
        <w:pStyle w:val="175"/>
        <w:rPr>
          <w:rFonts w:hint="eastAsia"/>
        </w:rPr>
      </w:pPr>
      <w:r>
        <w:rPr>
          <w:rFonts w:hint="eastAsia"/>
        </w:rPr>
        <w:t>风险评估，包括但不限于技术失败、成本超支、时间延误、合规风险等；</w:t>
      </w:r>
    </w:p>
    <w:p>
      <w:pPr>
        <w:pStyle w:val="175"/>
        <w:rPr>
          <w:rFonts w:hint="eastAsia"/>
        </w:rPr>
      </w:pPr>
      <w:r>
        <w:rPr>
          <w:rFonts w:hint="eastAsia"/>
        </w:rPr>
        <w:t>关键指标，包括但不限于项目完成度、质量控制、成本效益分析等；</w:t>
      </w:r>
    </w:p>
    <w:p>
      <w:pPr>
        <w:pStyle w:val="175"/>
      </w:pPr>
      <w:r>
        <w:rPr>
          <w:rFonts w:hint="eastAsia"/>
        </w:rPr>
        <w:t>趋势分析，包括但不限于最新的科研成果，行业动态等信息。</w:t>
      </w:r>
    </w:p>
    <w:p>
      <w:pPr>
        <w:pStyle w:val="166"/>
      </w:pPr>
      <w:r>
        <w:rPr>
          <w:rFonts w:hint="eastAsia"/>
        </w:rPr>
        <w:t>采用资源配置工具</w:t>
      </w:r>
      <w:r>
        <w:rPr>
          <w:rFonts w:hint="eastAsia"/>
          <w:lang w:val="en-US" w:eastAsia="zh-CN"/>
        </w:rPr>
        <w:t>-</w:t>
      </w:r>
      <w:r>
        <w:rPr>
          <w:rFonts w:hint="eastAsia"/>
        </w:rPr>
        <w:t>集成计划优化资源配置</w:t>
      </w:r>
    </w:p>
    <w:p>
      <w:pPr>
        <w:pStyle w:val="57"/>
        <w:ind w:firstLine="420"/>
        <w:rPr>
          <w:rFonts w:hint="eastAsia"/>
        </w:rPr>
      </w:pPr>
      <w:r>
        <w:rPr>
          <w:rFonts w:hint="eastAsia"/>
        </w:rPr>
        <w:t>使用人工智能和算法优化生产要素配置，实现数字化供应链的集成计划。集成计划具体实现宜建立同步标准、预测接受方需求、梳理现有资源、共享集成数据、制定协同计划。集成计划宜提高供应链响应能力、减少供应链资源浪费、缩短供应链业务周期、促进供应链利益协同。通过策划并实现端到端集成计划，实现从响应型到主动型数字化供应链的转变。</w:t>
      </w:r>
    </w:p>
    <w:p>
      <w:pPr>
        <w:pStyle w:val="182"/>
      </w:pPr>
      <w:r>
        <w:rPr>
          <w:rFonts w:hint="eastAsia"/>
        </w:rPr>
        <w:t>构建供应链生态的多周期时空网络模型，将基于采购策略的采购网络、基于物料清单和生产策略的制造网络、以及站点间的运输网络构造成一个多周期网络流模型。通过满足不同时间和空间节点之间的流量平衡，设置目标优先级分层求解，最终用集成计划达到充分利用产能、平衡需求、最小化成本的目的。</w:t>
      </w:r>
    </w:p>
    <w:p>
      <w:pPr>
        <w:pStyle w:val="166"/>
        <w:rPr>
          <w:rFonts w:hint="eastAsia"/>
        </w:rPr>
      </w:pPr>
      <w:r>
        <w:rPr>
          <w:rFonts w:hint="eastAsia"/>
        </w:rPr>
        <w:t>采用数字化供应链绩效、流程、技术、人员管理咨询的工具和方法</w:t>
      </w:r>
      <w:r>
        <w:rPr>
          <w:rFonts w:hint="eastAsia" w:ascii="宋体" w:hAnsi="Times New Roman" w:eastAsia="宋体" w:cs="Times New Roman"/>
          <w:sz w:val="21"/>
          <w:lang w:val="en-US" w:eastAsia="zh-CN" w:bidi="ar-SA"/>
        </w:rPr>
        <w:t>（见附录C）</w:t>
      </w:r>
      <w:r>
        <w:rPr>
          <w:rFonts w:hint="eastAsia"/>
          <w:lang w:eastAsia="zh-CN"/>
        </w:rPr>
        <w:t>，</w:t>
      </w:r>
      <w:r>
        <w:rPr>
          <w:rFonts w:hint="eastAsia"/>
        </w:rPr>
        <w:t>开展工作</w:t>
      </w:r>
      <w:r>
        <w:rPr>
          <w:rFonts w:hint="eastAsia"/>
          <w:lang w:eastAsia="zh-CN"/>
        </w:rPr>
        <w:t>，</w:t>
      </w:r>
      <w:r>
        <w:rPr>
          <w:rFonts w:hint="eastAsia"/>
        </w:rPr>
        <w:t>包括但不限于：</w:t>
      </w:r>
    </w:p>
    <w:p>
      <w:pPr>
        <w:pStyle w:val="57"/>
        <w:ind w:firstLine="420"/>
        <w:rPr>
          <w:rFonts w:hint="eastAsia"/>
        </w:rPr>
      </w:pPr>
      <w:r>
        <w:rPr>
          <w:rFonts w:hint="eastAsia"/>
        </w:rPr>
        <w:t>——数字化供应链管理实践知识库；</w:t>
      </w:r>
    </w:p>
    <w:p>
      <w:pPr>
        <w:pStyle w:val="57"/>
        <w:ind w:firstLine="420"/>
        <w:rPr>
          <w:rFonts w:hint="eastAsia"/>
        </w:rPr>
      </w:pPr>
      <w:r>
        <w:rPr>
          <w:rFonts w:hint="eastAsia"/>
        </w:rPr>
        <w:t>——数字化供应链智算系统等相关软件；</w:t>
      </w:r>
    </w:p>
    <w:p>
      <w:pPr>
        <w:pStyle w:val="57"/>
        <w:ind w:firstLine="420"/>
      </w:pPr>
      <w:r>
        <w:rPr>
          <w:rFonts w:hint="eastAsia"/>
        </w:rPr>
        <w:t>——数字化供应链管理培训软件。</w:t>
      </w:r>
    </w:p>
    <w:p>
      <w:pPr>
        <w:pStyle w:val="166"/>
      </w:pPr>
      <w:r>
        <w:rPr>
          <w:rFonts w:hint="eastAsia"/>
        </w:rPr>
        <w:t>采用寻求认同工具与利益相关者沟通</w:t>
      </w:r>
    </w:p>
    <w:p>
      <w:pPr>
        <w:pStyle w:val="57"/>
        <w:ind w:firstLine="420"/>
        <w:rPr>
          <w:rFonts w:hint="eastAsia"/>
        </w:rPr>
      </w:pPr>
      <w:r>
        <w:rPr>
          <w:rFonts w:hint="eastAsia"/>
        </w:rPr>
        <w:t>在任务开展期间采用的与利益相关方进行沟通的工具，包括但不限于：</w:t>
      </w:r>
    </w:p>
    <w:p>
      <w:pPr>
        <w:pStyle w:val="57"/>
        <w:ind w:firstLine="420"/>
        <w:rPr>
          <w:rFonts w:hint="eastAsia"/>
        </w:rPr>
      </w:pPr>
      <w:r>
        <w:rPr>
          <w:rFonts w:hint="eastAsia"/>
        </w:rPr>
        <w:t>——谈判与协调机制；</w:t>
      </w:r>
    </w:p>
    <w:p>
      <w:pPr>
        <w:pStyle w:val="57"/>
        <w:ind w:firstLine="420"/>
        <w:rPr>
          <w:rFonts w:hint="eastAsia"/>
        </w:rPr>
      </w:pPr>
      <w:r>
        <w:rPr>
          <w:rFonts w:hint="eastAsia"/>
        </w:rPr>
        <w:t>——组织冲突解决与合作机制；</w:t>
      </w:r>
    </w:p>
    <w:p>
      <w:pPr>
        <w:pStyle w:val="57"/>
        <w:ind w:firstLine="420"/>
      </w:pPr>
      <w:r>
        <w:rPr>
          <w:rFonts w:hint="eastAsia"/>
        </w:rPr>
        <w:t>——寻求文化认同。</w:t>
      </w:r>
    </w:p>
    <w:p>
      <w:pPr>
        <w:pStyle w:val="166"/>
      </w:pPr>
      <w:r>
        <w:rPr>
          <w:rFonts w:hint="eastAsia"/>
        </w:rPr>
        <w:t>采用风险管理工具开展风险管理</w:t>
      </w:r>
    </w:p>
    <w:p>
      <w:pPr>
        <w:pStyle w:val="57"/>
        <w:ind w:firstLine="420"/>
        <w:rPr>
          <w:rFonts w:hint="eastAsia"/>
        </w:rPr>
      </w:pPr>
      <w:r>
        <w:rPr>
          <w:rFonts w:hint="eastAsia"/>
        </w:rPr>
        <w:t>面向数字化供应链管理咨询的风险管理工具，包括但不限于：</w:t>
      </w:r>
    </w:p>
    <w:p>
      <w:pPr>
        <w:pStyle w:val="57"/>
        <w:ind w:firstLine="420"/>
        <w:rPr>
          <w:rFonts w:hint="eastAsia"/>
        </w:rPr>
      </w:pPr>
      <w:r>
        <w:rPr>
          <w:rFonts w:hint="eastAsia"/>
        </w:rPr>
        <w:t>——风险管理规划工具；</w:t>
      </w:r>
    </w:p>
    <w:p>
      <w:pPr>
        <w:pStyle w:val="57"/>
        <w:ind w:firstLine="420"/>
        <w:rPr>
          <w:rFonts w:hint="eastAsia"/>
        </w:rPr>
      </w:pPr>
      <w:r>
        <w:rPr>
          <w:rFonts w:hint="eastAsia"/>
        </w:rPr>
        <w:t>——风险识别工具；</w:t>
      </w:r>
    </w:p>
    <w:p>
      <w:pPr>
        <w:pStyle w:val="57"/>
        <w:ind w:firstLine="420"/>
        <w:rPr>
          <w:rFonts w:hint="eastAsia"/>
        </w:rPr>
      </w:pPr>
      <w:r>
        <w:rPr>
          <w:rFonts w:hint="eastAsia"/>
        </w:rPr>
        <w:t>——风险分析与评价工具；</w:t>
      </w:r>
    </w:p>
    <w:p>
      <w:pPr>
        <w:pStyle w:val="57"/>
        <w:ind w:left="840" w:leftChars="200" w:hanging="420" w:hangingChars="200"/>
        <w:rPr>
          <w:rFonts w:hint="eastAsia"/>
        </w:rPr>
      </w:pPr>
      <w:r>
        <w:rPr>
          <w:rFonts w:hint="eastAsia"/>
        </w:rPr>
        <w:t>——风险应对策略</w:t>
      </w:r>
      <w:r>
        <w:rPr>
          <w:rFonts w:hint="eastAsia"/>
          <w:lang w:eastAsia="zh-CN"/>
        </w:rPr>
        <w:t>，如利用区块链技术建立分布式账本和智能合约，以建立信任机制，促进交易的安全、资金高效协同</w:t>
      </w:r>
      <w:r>
        <w:rPr>
          <w:rFonts w:hint="eastAsia"/>
        </w:rPr>
        <w:t>；</w:t>
      </w:r>
    </w:p>
    <w:p>
      <w:pPr>
        <w:pStyle w:val="57"/>
        <w:ind w:firstLine="420"/>
      </w:pPr>
      <w:r>
        <w:rPr>
          <w:rFonts w:hint="eastAsia"/>
        </w:rPr>
        <w:t>——风险监控方法与工具。</w:t>
      </w:r>
    </w:p>
    <w:p>
      <w:pPr>
        <w:pStyle w:val="166"/>
      </w:pPr>
      <w:r>
        <w:rPr>
          <w:rFonts w:hint="eastAsia"/>
        </w:rPr>
        <w:t>结果评价与接受</w:t>
      </w:r>
    </w:p>
    <w:p>
      <w:pPr>
        <w:pStyle w:val="57"/>
        <w:ind w:firstLine="420"/>
      </w:pPr>
      <w:r>
        <w:rPr>
          <w:rFonts w:hint="eastAsia"/>
        </w:rPr>
        <w:t>成果的验收和管理咨询成果验收保持一致，确定成果评价和验收方法。</w:t>
      </w:r>
    </w:p>
    <w:p>
      <w:pPr>
        <w:pStyle w:val="166"/>
      </w:pPr>
      <w:r>
        <w:rPr>
          <w:rFonts w:hint="eastAsia"/>
        </w:rPr>
        <w:t>知识产权</w:t>
      </w:r>
    </w:p>
    <w:p>
      <w:pPr>
        <w:pStyle w:val="57"/>
        <w:ind w:firstLine="420"/>
      </w:pPr>
      <w:r>
        <w:rPr>
          <w:rFonts w:hint="eastAsia"/>
        </w:rPr>
        <w:t>管理咨询服务提供方对其专有技能、方法、数据库、基准、商业模式、工具和其他相关创意和技术享有知识产权，并保留其为项目引入的知识产权所有权。</w:t>
      </w:r>
    </w:p>
    <w:p>
      <w:pPr>
        <w:pStyle w:val="106"/>
        <w:spacing w:before="120" w:after="120"/>
      </w:pPr>
      <w:bookmarkStart w:id="73" w:name="_Toc190187262"/>
      <w:r>
        <w:rPr>
          <w:rFonts w:hint="eastAsia"/>
        </w:rPr>
        <w:t>技术实现途径</w:t>
      </w:r>
      <w:bookmarkEnd w:id="73"/>
    </w:p>
    <w:p>
      <w:pPr>
        <w:pStyle w:val="166"/>
      </w:pPr>
      <w:r>
        <w:rPr>
          <w:rFonts w:hint="eastAsia"/>
        </w:rPr>
        <w:t>设计数字化技术方案</w:t>
      </w:r>
    </w:p>
    <w:p>
      <w:pPr>
        <w:pStyle w:val="57"/>
        <w:ind w:firstLine="420"/>
        <w:rPr>
          <w:rFonts w:hint="eastAsia"/>
        </w:rPr>
      </w:pPr>
      <w:r>
        <w:rPr>
          <w:rFonts w:hint="eastAsia"/>
        </w:rPr>
        <w:t>根据数字化供应链管理咨询设计方案，设计与之匹配的数字化技术整体规划方案，明确供应链管理从规划到执行的系统拆解关系，包括但不限于：</w:t>
      </w:r>
    </w:p>
    <w:p>
      <w:pPr>
        <w:pStyle w:val="175"/>
        <w:numPr>
          <w:ilvl w:val="0"/>
          <w:numId w:val="47"/>
        </w:numPr>
        <w:rPr>
          <w:rFonts w:hint="eastAsia"/>
        </w:rPr>
      </w:pPr>
      <w:r>
        <w:rPr>
          <w:rFonts w:hint="eastAsia"/>
        </w:rPr>
        <w:t>数字化改造，实现实时协同与可视化</w:t>
      </w:r>
      <w:r>
        <w:rPr>
          <w:rFonts w:hint="eastAsia"/>
          <w:lang w:eastAsia="zh-CN"/>
        </w:rPr>
        <w:t>：</w:t>
      </w:r>
    </w:p>
    <w:p>
      <w:pPr>
        <w:pStyle w:val="110"/>
        <w:rPr>
          <w:rFonts w:hint="eastAsia"/>
        </w:rPr>
      </w:pPr>
      <w:r>
        <w:rPr>
          <w:rFonts w:hint="eastAsia"/>
        </w:rPr>
        <w:t>信息共享与实时监控</w:t>
      </w:r>
      <w:r>
        <w:rPr>
          <w:rFonts w:hint="eastAsia"/>
          <w:lang w:eastAsia="zh-CN"/>
        </w:rPr>
        <w:t>，</w:t>
      </w:r>
      <w:r>
        <w:rPr>
          <w:rFonts w:hint="eastAsia" w:ascii="宋体" w:hAnsi="宋体" w:eastAsia="宋体" w:cs="宋体"/>
          <w:color w:val="auto"/>
          <w:highlight w:val="none"/>
          <w:lang w:val="en-US" w:eastAsia="zh-CN"/>
        </w:rPr>
        <w:t>引入数字化系统、数据治理规范、智能采集装备，实现供应链各环节信息的实时共享和更新，提高供应链的透明度和反应速度</w:t>
      </w:r>
      <w:r>
        <w:rPr>
          <w:rFonts w:hint="eastAsia"/>
        </w:rPr>
        <w:t>；</w:t>
      </w:r>
    </w:p>
    <w:p>
      <w:pPr>
        <w:pStyle w:val="110"/>
        <w:rPr>
          <w:rFonts w:hint="eastAsia"/>
        </w:rPr>
      </w:pPr>
      <w:r>
        <w:rPr>
          <w:rFonts w:hint="eastAsia"/>
        </w:rPr>
        <w:t>资源配置优化</w:t>
      </w:r>
      <w:r>
        <w:rPr>
          <w:rFonts w:hint="eastAsia"/>
          <w:lang w:eastAsia="zh-CN"/>
        </w:rPr>
        <w:t>，</w:t>
      </w:r>
      <w:r>
        <w:rPr>
          <w:rFonts w:hint="eastAsia" w:ascii="宋体" w:hAnsi="宋体" w:eastAsia="宋体" w:cs="宋体"/>
          <w:color w:val="auto"/>
          <w:highlight w:val="none"/>
          <w:lang w:val="en-US" w:eastAsia="zh-CN"/>
        </w:rPr>
        <w:t>利用系统收集和分析数据，准确预测市场需求，合理调整库存、采购</w:t>
      </w:r>
      <w:r>
        <w:rPr>
          <w:rFonts w:hint="eastAsia" w:hAnsi="宋体" w:cs="宋体"/>
          <w:color w:val="auto"/>
          <w:highlight w:val="none"/>
          <w:lang w:val="en-US" w:eastAsia="zh-CN"/>
        </w:rPr>
        <w:t>、</w:t>
      </w:r>
      <w:r>
        <w:rPr>
          <w:rFonts w:hint="eastAsia" w:ascii="宋体" w:hAnsi="宋体" w:eastAsia="宋体" w:cs="宋体"/>
          <w:color w:val="auto"/>
          <w:highlight w:val="none"/>
          <w:lang w:val="en-US" w:eastAsia="zh-CN"/>
        </w:rPr>
        <w:t>生产</w:t>
      </w:r>
      <w:r>
        <w:rPr>
          <w:rFonts w:hint="eastAsia" w:hAnsi="宋体" w:cs="宋体"/>
          <w:color w:val="auto"/>
          <w:highlight w:val="none"/>
          <w:lang w:val="en-US" w:eastAsia="zh-CN"/>
        </w:rPr>
        <w:t>、履约、物流和逆向</w:t>
      </w:r>
      <w:r>
        <w:rPr>
          <w:rFonts w:hint="eastAsia" w:ascii="宋体" w:hAnsi="宋体" w:eastAsia="宋体" w:cs="宋体"/>
          <w:color w:val="auto"/>
          <w:highlight w:val="none"/>
          <w:lang w:val="en-US" w:eastAsia="zh-CN"/>
        </w:rPr>
        <w:t>计划，避免资源浪费和库存积压</w:t>
      </w:r>
      <w:r>
        <w:rPr>
          <w:rFonts w:hint="eastAsia"/>
        </w:rPr>
        <w:t>；</w:t>
      </w:r>
    </w:p>
    <w:p>
      <w:pPr>
        <w:pStyle w:val="110"/>
        <w:rPr>
          <w:rFonts w:hint="eastAsia"/>
        </w:rPr>
      </w:pPr>
      <w:r>
        <w:rPr>
          <w:rFonts w:hint="eastAsia"/>
        </w:rPr>
        <w:t>协同效率提升</w:t>
      </w:r>
      <w:r>
        <w:rPr>
          <w:rFonts w:hint="eastAsia"/>
          <w:lang w:eastAsia="zh-CN"/>
        </w:rPr>
        <w:t>，</w:t>
      </w:r>
      <w:r>
        <w:rPr>
          <w:rFonts w:hint="eastAsia" w:ascii="宋体" w:hAnsi="宋体" w:eastAsia="宋体" w:cs="宋体"/>
          <w:color w:val="auto"/>
          <w:highlight w:val="none"/>
          <w:lang w:val="en-US" w:eastAsia="zh-CN"/>
        </w:rPr>
        <w:t>建立协同机制，实现订单、库存、物流等信息的实时同步和共享，提高供应链的响应速度和协同效率</w:t>
      </w:r>
      <w:r>
        <w:rPr>
          <w:rFonts w:hint="eastAsia"/>
          <w:lang w:eastAsia="zh-CN"/>
        </w:rPr>
        <w:t>。</w:t>
      </w:r>
    </w:p>
    <w:p>
      <w:pPr>
        <w:pStyle w:val="175"/>
        <w:rPr>
          <w:rFonts w:hint="eastAsia"/>
        </w:rPr>
      </w:pPr>
      <w:r>
        <w:rPr>
          <w:rFonts w:hint="eastAsia"/>
        </w:rPr>
        <w:t>自动化升级，实现高度自动化与智能化</w:t>
      </w:r>
      <w:r>
        <w:rPr>
          <w:rFonts w:hint="eastAsia"/>
          <w:lang w:eastAsia="zh-CN"/>
        </w:rPr>
        <w:t>：</w:t>
      </w:r>
    </w:p>
    <w:p>
      <w:pPr>
        <w:pStyle w:val="110"/>
        <w:numPr>
          <w:ilvl w:val="1"/>
          <w:numId w:val="48"/>
        </w:numPr>
        <w:rPr>
          <w:rFonts w:hint="eastAsia"/>
        </w:rPr>
      </w:pPr>
      <w:r>
        <w:rPr>
          <w:rFonts w:hint="eastAsia"/>
        </w:rPr>
        <w:t>流程效率提升</w:t>
      </w:r>
      <w:r>
        <w:rPr>
          <w:rFonts w:hint="eastAsia"/>
          <w:lang w:eastAsia="zh-CN"/>
        </w:rPr>
        <w:t>，采用智能设备和系统，如自动化仓库、机器人拣选、智能分拣、自主机器人等，实现供应链的自动化作业，提高作业速度和准确性，减少人为错误和延误</w:t>
      </w:r>
      <w:r>
        <w:rPr>
          <w:rFonts w:hint="eastAsia"/>
        </w:rPr>
        <w:t>；</w:t>
      </w:r>
    </w:p>
    <w:p>
      <w:pPr>
        <w:pStyle w:val="110"/>
        <w:rPr>
          <w:rFonts w:hint="eastAsia"/>
        </w:rPr>
      </w:pPr>
      <w:r>
        <w:rPr>
          <w:rFonts w:hint="eastAsia"/>
        </w:rPr>
        <w:t>成本降低</w:t>
      </w:r>
      <w:r>
        <w:rPr>
          <w:rFonts w:hint="eastAsia"/>
          <w:lang w:eastAsia="zh-CN"/>
        </w:rPr>
        <w:t>，通过精确的数据分析和预测，优化库存管理和采购计划，减少库存积压和浪费，降低成本</w:t>
      </w:r>
      <w:r>
        <w:rPr>
          <w:rFonts w:hint="eastAsia"/>
        </w:rPr>
        <w:t>；</w:t>
      </w:r>
    </w:p>
    <w:p>
      <w:pPr>
        <w:pStyle w:val="110"/>
        <w:rPr>
          <w:rFonts w:hint="eastAsia"/>
        </w:rPr>
      </w:pPr>
      <w:r>
        <w:rPr>
          <w:rFonts w:hint="eastAsia"/>
        </w:rPr>
        <w:t>风险控制能力增强</w:t>
      </w:r>
      <w:r>
        <w:rPr>
          <w:rFonts w:hint="eastAsia"/>
          <w:lang w:eastAsia="zh-CN"/>
        </w:rPr>
        <w:t>，实施自动化升级，企业可以及时发现供应链中的潜在风险和问题，并采取相应的措施进行应对，提供全面的数据支持和分析，帮助企业更好地了解供应链的运行情况，制定更加科学的风险管理策略，含合规风险管理策略。</w:t>
      </w:r>
    </w:p>
    <w:p>
      <w:pPr>
        <w:pStyle w:val="175"/>
        <w:rPr>
          <w:rFonts w:hint="eastAsia"/>
        </w:rPr>
      </w:pPr>
      <w:r>
        <w:rPr>
          <w:rFonts w:hint="eastAsia"/>
        </w:rPr>
        <w:t>智能数据分析，实现数据驱动决策、提升供应链灵活性与韧性</w:t>
      </w:r>
      <w:r>
        <w:rPr>
          <w:rFonts w:hint="eastAsia"/>
          <w:lang w:eastAsia="zh-CN"/>
        </w:rPr>
        <w:t>：</w:t>
      </w:r>
    </w:p>
    <w:p>
      <w:pPr>
        <w:pStyle w:val="110"/>
        <w:numPr>
          <w:ilvl w:val="1"/>
          <w:numId w:val="49"/>
        </w:numPr>
        <w:rPr>
          <w:rFonts w:hint="eastAsia"/>
        </w:rPr>
      </w:pPr>
      <w:r>
        <w:rPr>
          <w:rFonts w:hint="eastAsia"/>
        </w:rPr>
        <w:t>精益管理；</w:t>
      </w:r>
    </w:p>
    <w:p>
      <w:pPr>
        <w:pStyle w:val="110"/>
        <w:rPr>
          <w:rFonts w:hint="eastAsia"/>
        </w:rPr>
      </w:pPr>
      <w:r>
        <w:rPr>
          <w:rFonts w:hint="eastAsia"/>
        </w:rPr>
        <w:t>资源配置优化；</w:t>
      </w:r>
    </w:p>
    <w:p>
      <w:pPr>
        <w:pStyle w:val="110"/>
      </w:pPr>
      <w:r>
        <w:rPr>
          <w:rFonts w:hint="eastAsia"/>
        </w:rPr>
        <w:t>协同效率提升。</w:t>
      </w:r>
    </w:p>
    <w:p>
      <w:pPr>
        <w:pStyle w:val="166"/>
      </w:pPr>
      <w:r>
        <w:rPr>
          <w:rFonts w:hint="eastAsia"/>
        </w:rPr>
        <w:t>制定数字化供应链模块</w:t>
      </w:r>
    </w:p>
    <w:p>
      <w:pPr>
        <w:pStyle w:val="57"/>
        <w:ind w:firstLine="420"/>
      </w:pPr>
      <w:r>
        <w:rPr>
          <w:rFonts w:hint="eastAsia"/>
        </w:rPr>
        <w:t>结合业务、流程梳理结果，根据接受方现有数字化系统的情况，形成数字化供应链模块组成及业务流转关系，实现符合接受方需求的完整数字化业务流程。</w:t>
      </w:r>
    </w:p>
    <w:p>
      <w:pPr>
        <w:pStyle w:val="166"/>
      </w:pPr>
      <w:r>
        <w:rPr>
          <w:rFonts w:hint="eastAsia"/>
        </w:rPr>
        <w:t>设定技术实施目标</w:t>
      </w:r>
    </w:p>
    <w:p>
      <w:pPr>
        <w:pStyle w:val="57"/>
        <w:ind w:firstLine="420"/>
      </w:pPr>
      <w:r>
        <w:rPr>
          <w:rFonts w:hint="eastAsia"/>
        </w:rPr>
        <w:t>合理设定技术实现阶段目标和实施计划，在实现基础业务和数据的数字化的基础上，分阶段实现供应链内部的职能集成，企业内部营、销、服、供、财等领域的价值链集成，以及跨企业的生态合作伙伴产业链集成。</w:t>
      </w:r>
    </w:p>
    <w:p>
      <w:pPr>
        <w:pStyle w:val="166"/>
      </w:pPr>
      <w:r>
        <w:rPr>
          <w:rFonts w:hint="eastAsia"/>
        </w:rPr>
        <w:t>端到端集成计划</w:t>
      </w:r>
    </w:p>
    <w:p>
      <w:pPr>
        <w:pStyle w:val="57"/>
        <w:ind w:firstLine="420"/>
      </w:pPr>
      <w:r>
        <w:rPr>
          <w:rFonts w:hint="eastAsia"/>
        </w:rPr>
        <w:t>结合企业的发展战略和阶段经营目标，通过设计从供应端到需求端的集成计划数字化系统，使用决策智能化技术，分层拆解设计，充分整合接受方数字化供应链各子系统，形成决策到执行的技术实现闭环。</w:t>
      </w:r>
    </w:p>
    <w:p>
      <w:pPr>
        <w:pStyle w:val="166"/>
      </w:pPr>
      <w:r>
        <w:rPr>
          <w:rFonts w:hint="eastAsia"/>
        </w:rPr>
        <w:t>系统调试</w:t>
      </w:r>
    </w:p>
    <w:p>
      <w:pPr>
        <w:pStyle w:val="57"/>
        <w:ind w:firstLine="420"/>
        <w:rPr>
          <w:rFonts w:hint="eastAsia"/>
        </w:rPr>
      </w:pPr>
      <w:r>
        <w:rPr>
          <w:rFonts w:hint="eastAsia"/>
        </w:rPr>
        <w:t>整理接受方当前管理规则与业务数据，提供可以导入规则和数据的系统，并进行预期效果验证，获得期望的成果。包括但不限于：</w:t>
      </w:r>
    </w:p>
    <w:p>
      <w:pPr>
        <w:pStyle w:val="175"/>
        <w:numPr>
          <w:ilvl w:val="0"/>
          <w:numId w:val="50"/>
        </w:numPr>
        <w:rPr>
          <w:rFonts w:hint="eastAsia"/>
        </w:rPr>
      </w:pPr>
      <w:r>
        <w:rPr>
          <w:rFonts w:hint="eastAsia"/>
        </w:rPr>
        <w:t>数据采集</w:t>
      </w:r>
      <w:r>
        <w:rPr>
          <w:rFonts w:hint="eastAsia"/>
          <w:lang w:eastAsia="zh-CN"/>
        </w:rPr>
        <w:t>，明确数据采集的需求，对跨时间、跨职能、跨层次的数据累积、清理和重构等做出制度性安排，采用适宜手段，如智能装备，采集设备设施、业务活动、供应链、产品生命周期、产业生态合作伙伴等相关数据，开展数据处理</w:t>
      </w:r>
      <w:r>
        <w:rPr>
          <w:rFonts w:hint="eastAsia"/>
        </w:rPr>
        <w:t>；</w:t>
      </w:r>
    </w:p>
    <w:p>
      <w:pPr>
        <w:pStyle w:val="175"/>
        <w:rPr>
          <w:rFonts w:hint="eastAsia"/>
        </w:rPr>
      </w:pPr>
      <w:r>
        <w:rPr>
          <w:rFonts w:hint="eastAsia"/>
        </w:rPr>
        <w:t>数据集成与共享</w:t>
      </w:r>
      <w:r>
        <w:rPr>
          <w:rFonts w:hint="eastAsia"/>
          <w:lang w:eastAsia="zh-CN"/>
        </w:rPr>
        <w:t>，通过数据的标准化和规范化治理，利用数据接口、数据交换平台等开展多源异构数据的在线交换和集成共享</w:t>
      </w:r>
      <w:r>
        <w:rPr>
          <w:rFonts w:hint="eastAsia"/>
        </w:rPr>
        <w:t>；</w:t>
      </w:r>
    </w:p>
    <w:p>
      <w:pPr>
        <w:pStyle w:val="175"/>
      </w:pPr>
      <w:r>
        <w:rPr>
          <w:rFonts w:hint="eastAsia"/>
        </w:rPr>
        <w:t>数据应用</w:t>
      </w:r>
      <w:r>
        <w:rPr>
          <w:rFonts w:hint="eastAsia"/>
          <w:lang w:eastAsia="zh-CN"/>
        </w:rPr>
        <w:t>，按需开发并部署数据模型和算法模型，开展基于数据模型的应用与优化，充分挖掘数据价值，丰富数据应用场景</w:t>
      </w:r>
      <w:r>
        <w:rPr>
          <w:rFonts w:hint="eastAsia"/>
        </w:rPr>
        <w:t>。</w:t>
      </w:r>
    </w:p>
    <w:p>
      <w:pPr>
        <w:pStyle w:val="166"/>
      </w:pPr>
      <w:r>
        <w:rPr>
          <w:rFonts w:hint="eastAsia"/>
        </w:rPr>
        <w:t>创新技术解决方案</w:t>
      </w:r>
    </w:p>
    <w:p>
      <w:pPr>
        <w:pStyle w:val="57"/>
        <w:ind w:firstLine="420"/>
        <w:rPr>
          <w:rFonts w:hint="eastAsia"/>
        </w:rPr>
      </w:pPr>
      <w:r>
        <w:rPr>
          <w:rFonts w:hint="eastAsia"/>
        </w:rPr>
        <w:t>从设备设施、信息技术软硬件、网络、平台等方面提供方案，充分发挥技术创新和应用的基础性作用，尤其是充分运用云计算、大数据、物联网、人工智能、区块链等新一代信息技术手段，实现数字化供应链管理目的。技术要素相关活动包括但不限于：</w:t>
      </w:r>
    </w:p>
    <w:p>
      <w:pPr>
        <w:pStyle w:val="175"/>
        <w:numPr>
          <w:ilvl w:val="0"/>
          <w:numId w:val="51"/>
        </w:numPr>
        <w:rPr>
          <w:rFonts w:hint="eastAsia"/>
        </w:rPr>
      </w:pPr>
      <w:r>
        <w:rPr>
          <w:rFonts w:hint="eastAsia"/>
        </w:rPr>
        <w:t>设备设施改造与升级；</w:t>
      </w:r>
    </w:p>
    <w:p>
      <w:pPr>
        <w:pStyle w:val="175"/>
        <w:rPr>
          <w:rFonts w:hint="eastAsia"/>
        </w:rPr>
      </w:pPr>
      <w:r>
        <w:rPr>
          <w:rFonts w:hint="eastAsia"/>
        </w:rPr>
        <w:t>信息技术软硬件部署与应用；</w:t>
      </w:r>
    </w:p>
    <w:p>
      <w:pPr>
        <w:pStyle w:val="175"/>
        <w:rPr>
          <w:rFonts w:hint="eastAsia"/>
        </w:rPr>
      </w:pPr>
      <w:r>
        <w:rPr>
          <w:rFonts w:hint="eastAsia"/>
        </w:rPr>
        <w:t>网络建设与互联；</w:t>
      </w:r>
    </w:p>
    <w:p>
      <w:pPr>
        <w:pStyle w:val="175"/>
      </w:pPr>
      <w:r>
        <w:rPr>
          <w:rFonts w:hint="eastAsia"/>
        </w:rPr>
        <w:t>平台部署与应用。</w:t>
      </w:r>
    </w:p>
    <w:p>
      <w:pPr>
        <w:pStyle w:val="166"/>
      </w:pPr>
      <w:r>
        <w:rPr>
          <w:rFonts w:hint="eastAsia"/>
        </w:rPr>
        <w:t>协同系统验证</w:t>
      </w:r>
    </w:p>
    <w:p>
      <w:pPr>
        <w:pStyle w:val="57"/>
        <w:ind w:firstLine="420"/>
      </w:pPr>
      <w:r>
        <w:rPr>
          <w:rFonts w:hint="eastAsia"/>
        </w:rPr>
        <w:t>与接受方联合开展设计、开发和试运行，结合咨询方案设定的各项目标，进行系统方案验证，并根据实际情况进行适配调整，最终满足方案和成果交付要求。</w:t>
      </w:r>
    </w:p>
    <w:p>
      <w:pPr>
        <w:pStyle w:val="105"/>
        <w:spacing w:before="240" w:after="240"/>
      </w:pPr>
      <w:bookmarkStart w:id="74" w:name="_Toc190187265"/>
      <w:bookmarkStart w:id="75" w:name="_Toc190187291"/>
      <w:r>
        <w:rPr>
          <w:rFonts w:hint="eastAsia"/>
        </w:rPr>
        <w:t>服务质量持续改进</w:t>
      </w:r>
      <w:bookmarkEnd w:id="74"/>
      <w:bookmarkEnd w:id="75"/>
    </w:p>
    <w:p>
      <w:pPr>
        <w:pStyle w:val="106"/>
        <w:spacing w:before="120" w:after="120"/>
      </w:pPr>
      <w:bookmarkStart w:id="76" w:name="_Toc190187266"/>
      <w:r>
        <w:rPr>
          <w:rFonts w:hint="eastAsia"/>
        </w:rPr>
        <w:t>策划</w:t>
      </w:r>
      <w:bookmarkEnd w:id="76"/>
    </w:p>
    <w:p>
      <w:pPr>
        <w:pStyle w:val="57"/>
        <w:ind w:firstLine="420"/>
        <w:rPr>
          <w:rFonts w:hint="eastAsia"/>
        </w:rPr>
      </w:pPr>
      <w:r>
        <w:rPr>
          <w:rFonts w:hint="eastAsia"/>
        </w:rPr>
        <w:t>管理咨询服务提供方围绕数字化供应链战略目标建立持续改进机制，以提供定制化解决方案、识别数字化供应链潜在风险、跟踪数字化供应链运营效果，包括但不限于：</w:t>
      </w:r>
    </w:p>
    <w:p>
      <w:pPr>
        <w:pStyle w:val="175"/>
        <w:numPr>
          <w:ilvl w:val="0"/>
          <w:numId w:val="52"/>
        </w:numPr>
        <w:rPr>
          <w:rFonts w:hint="eastAsia"/>
        </w:rPr>
      </w:pPr>
      <w:r>
        <w:rPr>
          <w:rFonts w:hint="eastAsia"/>
        </w:rPr>
        <w:t>管理咨询服务制度和流程改进需求的评价方法；</w:t>
      </w:r>
    </w:p>
    <w:p>
      <w:pPr>
        <w:pStyle w:val="175"/>
        <w:rPr>
          <w:rFonts w:hint="eastAsia"/>
        </w:rPr>
      </w:pPr>
      <w:r>
        <w:rPr>
          <w:rFonts w:hint="eastAsia"/>
        </w:rPr>
        <w:t>管理咨询服务过程和成效监测的方法、流程和制度；</w:t>
      </w:r>
    </w:p>
    <w:p>
      <w:pPr>
        <w:pStyle w:val="175"/>
        <w:rPr>
          <w:rFonts w:hint="eastAsia"/>
        </w:rPr>
      </w:pPr>
      <w:r>
        <w:rPr>
          <w:rFonts w:hint="eastAsia"/>
        </w:rPr>
        <w:t>管理咨询服务过程中</w:t>
      </w:r>
      <w:r>
        <w:rPr>
          <w:rFonts w:hint="eastAsia"/>
          <w:lang w:eastAsia="zh-CN"/>
        </w:rPr>
        <w:t>，</w:t>
      </w:r>
      <w:r>
        <w:rPr>
          <w:rFonts w:hint="eastAsia"/>
        </w:rPr>
        <w:t>接受方满意度收集的方法、程序和配套工具；</w:t>
      </w:r>
    </w:p>
    <w:p>
      <w:pPr>
        <w:pStyle w:val="175"/>
      </w:pPr>
      <w:r>
        <w:rPr>
          <w:rFonts w:hint="eastAsia"/>
        </w:rPr>
        <w:t>实施持续改进的要求、程序和相应的责任人。</w:t>
      </w:r>
    </w:p>
    <w:p>
      <w:pPr>
        <w:pStyle w:val="106"/>
        <w:spacing w:before="120" w:after="120"/>
      </w:pPr>
      <w:bookmarkStart w:id="77" w:name="_Toc190187267"/>
      <w:r>
        <w:rPr>
          <w:rFonts w:hint="eastAsia"/>
        </w:rPr>
        <w:t>过程监测</w:t>
      </w:r>
      <w:bookmarkEnd w:id="77"/>
    </w:p>
    <w:p>
      <w:pPr>
        <w:pStyle w:val="166"/>
      </w:pPr>
      <w:r>
        <w:rPr>
          <w:rFonts w:hint="eastAsia"/>
        </w:rPr>
        <w:t>监测与改进措施</w:t>
      </w:r>
    </w:p>
    <w:p>
      <w:pPr>
        <w:pStyle w:val="57"/>
        <w:ind w:firstLine="420"/>
        <w:rPr>
          <w:rFonts w:hint="eastAsia"/>
        </w:rPr>
      </w:pPr>
      <w:r>
        <w:rPr>
          <w:rFonts w:hint="eastAsia"/>
        </w:rPr>
        <w:t>管理咨询服务提供方建立管理咨询服务过程的监测与改进措施，并确保有效运行，包括但不限于：</w:t>
      </w:r>
    </w:p>
    <w:p>
      <w:pPr>
        <w:pStyle w:val="175"/>
        <w:numPr>
          <w:ilvl w:val="0"/>
          <w:numId w:val="53"/>
        </w:numPr>
        <w:rPr>
          <w:rFonts w:hint="eastAsia"/>
        </w:rPr>
      </w:pPr>
      <w:r>
        <w:rPr>
          <w:rFonts w:hint="eastAsia"/>
        </w:rPr>
        <w:t>做充分宣讲，确保管理咨询服务提供方相关人员了解监测要求、目的和方法；</w:t>
      </w:r>
    </w:p>
    <w:p>
      <w:pPr>
        <w:pStyle w:val="175"/>
        <w:rPr>
          <w:rFonts w:hint="eastAsia"/>
        </w:rPr>
      </w:pPr>
      <w:r>
        <w:rPr>
          <w:rFonts w:hint="eastAsia"/>
        </w:rPr>
        <w:t>明确执行过程监测的责任人、方法和要求；如，根据咨询服务的业务内容可进行从数字化供应链战略规划、计划层及执行层等不同层级对应组织的过程监测机制；</w:t>
      </w:r>
    </w:p>
    <w:p>
      <w:pPr>
        <w:pStyle w:val="175"/>
        <w:rPr>
          <w:rFonts w:hint="eastAsia"/>
        </w:rPr>
      </w:pPr>
      <w:r>
        <w:rPr>
          <w:rFonts w:hint="eastAsia"/>
        </w:rPr>
        <w:t>建立清晰的数据和信息收集的方法、工具和责任；</w:t>
      </w:r>
    </w:p>
    <w:p>
      <w:pPr>
        <w:pStyle w:val="175"/>
        <w:rPr>
          <w:rFonts w:hint="eastAsia"/>
        </w:rPr>
      </w:pPr>
      <w:r>
        <w:rPr>
          <w:rFonts w:hint="eastAsia"/>
        </w:rPr>
        <w:t>监测信息包括但不限于项目计划的实施、接受方的反馈、投诉和满意度评价；</w:t>
      </w:r>
    </w:p>
    <w:p>
      <w:pPr>
        <w:pStyle w:val="175"/>
      </w:pPr>
      <w:r>
        <w:rPr>
          <w:rFonts w:hint="eastAsia"/>
        </w:rPr>
        <w:t>定期对管理咨询服务过程监测进行评估</w:t>
      </w:r>
      <w:r>
        <w:rPr>
          <w:rFonts w:hint="eastAsia"/>
          <w:lang w:eastAsia="zh-CN"/>
        </w:rPr>
        <w:t>，</w:t>
      </w:r>
      <w:r>
        <w:rPr>
          <w:rFonts w:hint="eastAsia"/>
        </w:rPr>
        <w:t>确定管理咨询服务过程符合预定目标的程度。</w:t>
      </w:r>
    </w:p>
    <w:p>
      <w:pPr>
        <w:pStyle w:val="166"/>
        <w:rPr>
          <w:rFonts w:hint="eastAsia" w:ascii="宋体" w:hAnsi="宋体" w:eastAsia="宋体" w:cs="宋体"/>
          <w:highlight w:val="none"/>
          <w:lang w:val="en-US" w:eastAsia="zh-CN"/>
        </w:rPr>
      </w:pPr>
      <w:r>
        <w:rPr>
          <w:rFonts w:hint="eastAsia"/>
        </w:rPr>
        <w:t>过程监测工具与技术</w:t>
      </w:r>
      <w:r>
        <w:rPr>
          <w:rFonts w:hint="eastAsia"/>
          <w:lang w:eastAsia="zh-CN"/>
        </w:rPr>
        <w:t>，</w:t>
      </w:r>
      <w:r>
        <w:rPr>
          <w:rFonts w:hint="eastAsia" w:ascii="宋体" w:hAnsi="宋体" w:eastAsia="宋体" w:cs="宋体"/>
          <w:highlight w:val="none"/>
          <w:lang w:val="en-US" w:eastAsia="zh-CN"/>
        </w:rPr>
        <w:t>包括但不限于：</w:t>
      </w:r>
    </w:p>
    <w:p>
      <w:pPr>
        <w:numPr>
          <w:ilvl w:val="0"/>
          <w:numId w:val="0"/>
        </w:numPr>
        <w:ind w:left="840" w:leftChars="200" w:hanging="420" w:hangingChars="200"/>
        <w:rPr>
          <w:rFonts w:hint="default"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a)数据收集</w:t>
      </w:r>
      <w:r>
        <w:rPr>
          <w:rFonts w:hint="eastAsia" w:ascii="宋体" w:hAnsi="Times New Roman" w:cs="Times New Roman"/>
          <w:kern w:val="0"/>
          <w:sz w:val="21"/>
          <w:szCs w:val="20"/>
          <w:lang w:val="en-US" w:eastAsia="zh-CN" w:bidi="ar-SA"/>
        </w:rPr>
        <w:t>，如</w:t>
      </w:r>
      <w:r>
        <w:rPr>
          <w:rFonts w:hint="eastAsia" w:ascii="宋体" w:hAnsi="Times New Roman" w:eastAsia="宋体" w:cs="Times New Roman"/>
          <w:kern w:val="0"/>
          <w:sz w:val="21"/>
          <w:szCs w:val="20"/>
          <w:lang w:val="en-US" w:eastAsia="zh-CN" w:bidi="ar-SA"/>
        </w:rPr>
        <w:t>核对单、核查表、统计抽样、调查问卷等；</w:t>
      </w:r>
    </w:p>
    <w:p>
      <w:pPr>
        <w:numPr>
          <w:ilvl w:val="0"/>
          <w:numId w:val="0"/>
        </w:numPr>
        <w:ind w:firstLine="420"/>
        <w:rPr>
          <w:rFonts w:hint="default"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b)数据分析</w:t>
      </w:r>
      <w:r>
        <w:rPr>
          <w:rFonts w:hint="eastAsia" w:ascii="宋体" w:hAnsi="Times New Roman" w:cs="Times New Roman"/>
          <w:kern w:val="0"/>
          <w:sz w:val="21"/>
          <w:szCs w:val="20"/>
          <w:lang w:val="en-US" w:eastAsia="zh-CN" w:bidi="ar-SA"/>
        </w:rPr>
        <w:t>，如</w:t>
      </w:r>
      <w:r>
        <w:rPr>
          <w:rFonts w:hint="eastAsia" w:ascii="宋体" w:hAnsi="Times New Roman" w:eastAsia="宋体" w:cs="Times New Roman"/>
          <w:kern w:val="0"/>
          <w:sz w:val="21"/>
          <w:szCs w:val="20"/>
          <w:lang w:val="en-US" w:eastAsia="zh-CN" w:bidi="ar-SA"/>
        </w:rPr>
        <w:t>绩效审查、根本原因分析等；</w:t>
      </w:r>
    </w:p>
    <w:p>
      <w:pPr>
        <w:pStyle w:val="57"/>
        <w:ind w:firstLine="42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c)数据表现</w:t>
      </w:r>
      <w:r>
        <w:rPr>
          <w:rFonts w:hint="eastAsia" w:ascii="宋体" w:hAnsi="Times New Roman" w:cs="Times New Roman"/>
          <w:kern w:val="0"/>
          <w:sz w:val="21"/>
          <w:szCs w:val="20"/>
          <w:lang w:val="en-US" w:eastAsia="zh-CN" w:bidi="ar-SA"/>
        </w:rPr>
        <w:t>，如</w:t>
      </w:r>
      <w:r>
        <w:rPr>
          <w:rFonts w:hint="eastAsia" w:ascii="宋体" w:hAnsi="Times New Roman" w:eastAsia="宋体" w:cs="Times New Roman"/>
          <w:kern w:val="0"/>
          <w:sz w:val="21"/>
          <w:szCs w:val="20"/>
          <w:lang w:val="en-US" w:eastAsia="zh-CN" w:bidi="ar-SA"/>
        </w:rPr>
        <w:t>因果图、控制图、直方图、散点图等。</w:t>
      </w:r>
    </w:p>
    <w:p>
      <w:pPr>
        <w:pStyle w:val="106"/>
        <w:spacing w:before="120" w:after="120"/>
      </w:pPr>
      <w:bookmarkStart w:id="78" w:name="_Toc190187268"/>
      <w:r>
        <w:rPr>
          <w:rFonts w:hint="eastAsia"/>
        </w:rPr>
        <w:t>实施</w:t>
      </w:r>
      <w:bookmarkEnd w:id="78"/>
    </w:p>
    <w:p>
      <w:pPr>
        <w:pStyle w:val="57"/>
        <w:ind w:firstLine="420"/>
        <w:rPr>
          <w:rFonts w:hint="eastAsia"/>
        </w:rPr>
      </w:pPr>
      <w:r>
        <w:rPr>
          <w:rFonts w:hint="eastAsia"/>
        </w:rPr>
        <w:t>管理咨询服务提供方按规定的方法对管理咨询服务进行持续改进，包括但不限于：</w:t>
      </w:r>
    </w:p>
    <w:p>
      <w:pPr>
        <w:pStyle w:val="175"/>
        <w:numPr>
          <w:ilvl w:val="0"/>
          <w:numId w:val="54"/>
        </w:numPr>
        <w:rPr>
          <w:rFonts w:hint="eastAsia"/>
        </w:rPr>
      </w:pPr>
      <w:r>
        <w:rPr>
          <w:rFonts w:hint="eastAsia"/>
        </w:rPr>
        <w:t>制定改进措施对项目偏差进行纠正；</w:t>
      </w:r>
    </w:p>
    <w:p>
      <w:pPr>
        <w:pStyle w:val="175"/>
        <w:rPr>
          <w:rFonts w:hint="eastAsia"/>
        </w:rPr>
      </w:pPr>
      <w:r>
        <w:rPr>
          <w:rFonts w:hint="eastAsia"/>
        </w:rPr>
        <w:t>围绕数据的分析和监测发现，组织研讨活动制定纠偏措施；</w:t>
      </w:r>
    </w:p>
    <w:p>
      <w:pPr>
        <w:pStyle w:val="175"/>
        <w:rPr>
          <w:rFonts w:hint="eastAsia"/>
        </w:rPr>
      </w:pPr>
      <w:r>
        <w:rPr>
          <w:rFonts w:hint="eastAsia"/>
        </w:rPr>
        <w:t>改进的要求以书面、培训、沟通等方式告知管理咨询服务提供方相关人员；</w:t>
      </w:r>
    </w:p>
    <w:p>
      <w:pPr>
        <w:pStyle w:val="175"/>
        <w:rPr>
          <w:rFonts w:hint="eastAsia"/>
        </w:rPr>
      </w:pPr>
      <w:r>
        <w:rPr>
          <w:rFonts w:hint="eastAsia"/>
        </w:rPr>
        <w:t>进行管理咨询项目的改进，将改进措施和期望效果告知接受方；</w:t>
      </w:r>
    </w:p>
    <w:p>
      <w:pPr>
        <w:pStyle w:val="175"/>
        <w:rPr>
          <w:rFonts w:hint="eastAsia"/>
        </w:rPr>
      </w:pPr>
      <w:r>
        <w:rPr>
          <w:rFonts w:hint="eastAsia"/>
        </w:rPr>
        <w:t>定期培训员工及专业人员</w:t>
      </w:r>
      <w:r>
        <w:rPr>
          <w:rFonts w:hint="eastAsia"/>
          <w:lang w:eastAsia="zh-CN"/>
        </w:rPr>
        <w:t>，</w:t>
      </w:r>
      <w:r>
        <w:rPr>
          <w:rFonts w:hint="eastAsia"/>
        </w:rPr>
        <w:t>如管理咨询师、技术顾问、信息技术工程师等</w:t>
      </w:r>
      <w:r>
        <w:rPr>
          <w:rFonts w:hint="eastAsia"/>
          <w:lang w:eastAsia="zh-CN"/>
        </w:rPr>
        <w:t>，</w:t>
      </w:r>
      <w:r>
        <w:rPr>
          <w:rFonts w:hint="eastAsia"/>
        </w:rPr>
        <w:t>持续提升其专业服务能力；并将相关方法论对关键接受方进行有效知识转移，提高交付质量；</w:t>
      </w:r>
    </w:p>
    <w:p>
      <w:pPr>
        <w:pStyle w:val="175"/>
      </w:pPr>
      <w:r>
        <w:rPr>
          <w:rFonts w:hint="eastAsia"/>
        </w:rPr>
        <w:t>管理咨询服务提供方主要负责人参加管理咨询服务的持续改进活动。</w:t>
      </w:r>
    </w:p>
    <w:p>
      <w:pPr>
        <w:pStyle w:val="106"/>
        <w:spacing w:before="120" w:after="120"/>
      </w:pPr>
      <w:bookmarkStart w:id="79" w:name="_Toc190187269"/>
      <w:r>
        <w:rPr>
          <w:rFonts w:hint="eastAsia"/>
        </w:rPr>
        <w:t>效果评估</w:t>
      </w:r>
      <w:bookmarkEnd w:id="79"/>
    </w:p>
    <w:p>
      <w:pPr>
        <w:pStyle w:val="57"/>
        <w:ind w:firstLine="420"/>
        <w:rPr>
          <w:rFonts w:hint="eastAsia"/>
        </w:rPr>
      </w:pPr>
      <w:r>
        <w:rPr>
          <w:rFonts w:hint="eastAsia"/>
        </w:rPr>
        <w:t>管理咨询服务提供方及时评估状态和成效</w:t>
      </w:r>
      <w:r>
        <w:rPr>
          <w:rFonts w:hint="eastAsia"/>
          <w:lang w:eastAsia="zh-CN"/>
        </w:rPr>
        <w:t>，</w:t>
      </w:r>
      <w:r>
        <w:rPr>
          <w:rFonts w:hint="eastAsia"/>
        </w:rPr>
        <w:t>确保持续改进行动符合期望目标，包括但不限于：</w:t>
      </w:r>
    </w:p>
    <w:p>
      <w:pPr>
        <w:pStyle w:val="175"/>
        <w:numPr>
          <w:ilvl w:val="0"/>
          <w:numId w:val="55"/>
        </w:numPr>
        <w:rPr>
          <w:rFonts w:hint="eastAsia"/>
        </w:rPr>
      </w:pPr>
      <w:r>
        <w:rPr>
          <w:rFonts w:hint="eastAsia"/>
        </w:rPr>
        <w:t>对比改进目标评价是否达成了预定目标，如，除了数字化供应链各业务模块的业务流程及功能设计之外，针对接受方的需求管理、主计划、生产调度等明确优化环节，帮助接受方明确数字化改进目标是否达成了预定目标；</w:t>
      </w:r>
    </w:p>
    <w:p>
      <w:pPr>
        <w:pStyle w:val="175"/>
        <w:rPr>
          <w:rFonts w:hint="eastAsia"/>
        </w:rPr>
      </w:pPr>
      <w:r>
        <w:rPr>
          <w:rFonts w:hint="eastAsia"/>
        </w:rPr>
        <w:t>积累到多个改进项时，考虑对管理咨询服务过程、方法、质量保障等的规范、流程、规则、工具、培训等制度进行修订；</w:t>
      </w:r>
    </w:p>
    <w:p>
      <w:pPr>
        <w:pStyle w:val="175"/>
        <w:rPr>
          <w:rFonts w:hint="eastAsia"/>
        </w:rPr>
      </w:pPr>
      <w:r>
        <w:rPr>
          <w:rFonts w:hint="eastAsia"/>
        </w:rPr>
        <w:t>改进的评估方法包括研讨会、总结报告、数据分析和培训等；</w:t>
      </w:r>
    </w:p>
    <w:p>
      <w:pPr>
        <w:pStyle w:val="175"/>
      </w:pPr>
      <w:r>
        <w:rPr>
          <w:rFonts w:hint="eastAsia"/>
        </w:rPr>
        <w:t>改进评估结论、策划方案、相关措施等文件整理后归档管理。</w:t>
      </w:r>
    </w:p>
    <w:p>
      <w:pPr>
        <w:pStyle w:val="175"/>
        <w:numPr>
          <w:ilvl w:val="0"/>
          <w:numId w:val="0"/>
        </w:numPr>
        <w:rPr>
          <w:rFonts w:hint="eastAsia"/>
        </w:rPr>
      </w:pPr>
    </w:p>
    <w:p>
      <w:pPr>
        <w:pStyle w:val="175"/>
        <w:numPr>
          <w:ilvl w:val="0"/>
          <w:numId w:val="0"/>
        </w:numPr>
        <w:sectPr>
          <w:pgSz w:w="11906" w:h="16838"/>
          <w:pgMar w:top="1928" w:right="1134" w:bottom="1134" w:left="1134" w:header="1418" w:footer="1134" w:gutter="284"/>
          <w:pgNumType w:start="1"/>
          <w:cols w:space="425" w:num="1"/>
          <w:formProt w:val="0"/>
          <w:docGrid w:linePitch="312" w:charSpace="0"/>
        </w:sectPr>
      </w:pPr>
    </w:p>
    <w:bookmarkEnd w:id="25"/>
    <w:p>
      <w:pPr>
        <w:pStyle w:val="199"/>
        <w:rPr>
          <w:rFonts w:hint="eastAsia"/>
          <w:vanish w:val="0"/>
        </w:rPr>
      </w:pPr>
      <w:bookmarkStart w:id="80" w:name="BookMark5"/>
    </w:p>
    <w:p>
      <w:pPr>
        <w:pStyle w:val="200"/>
        <w:rPr>
          <w:rFonts w:hint="eastAsia"/>
          <w:vanish w:val="0"/>
        </w:rPr>
      </w:pPr>
    </w:p>
    <w:p>
      <w:pPr>
        <w:pStyle w:val="77"/>
        <w:spacing w:after="120"/>
        <w:rPr>
          <w:rFonts w:hint="eastAsia"/>
        </w:rPr>
      </w:pPr>
      <w:r>
        <w:br w:type="textWrapping"/>
      </w:r>
      <w:bookmarkStart w:id="81" w:name="_Toc190187292"/>
      <w:bookmarkStart w:id="82" w:name="_Toc190187270"/>
      <w:r>
        <w:rPr>
          <w:rFonts w:hint="eastAsia"/>
        </w:rPr>
        <w:t>（资料性）</w:t>
      </w:r>
      <w:r>
        <w:br w:type="textWrapping"/>
      </w:r>
      <w:r>
        <w:rPr>
          <w:rFonts w:hint="eastAsia"/>
          <w:color w:val="auto"/>
          <w:lang w:eastAsia="zh-CN"/>
        </w:rPr>
        <w:t>管理咨询</w:t>
      </w:r>
      <w:r>
        <w:rPr>
          <w:rFonts w:hint="eastAsia"/>
          <w:color w:val="auto"/>
        </w:rPr>
        <w:t>服</w:t>
      </w:r>
      <w:r>
        <w:rPr>
          <w:rFonts w:hint="eastAsia"/>
        </w:rPr>
        <w:t>务提供方能力</w:t>
      </w:r>
      <w:bookmarkEnd w:id="81"/>
      <w:bookmarkEnd w:id="82"/>
    </w:p>
    <w:p>
      <w:pPr>
        <w:pStyle w:val="57"/>
        <w:ind w:firstLine="420"/>
        <w:rPr>
          <w:rFonts w:hint="eastAsia" w:eastAsia="宋体"/>
          <w:lang w:val="en-US" w:eastAsia="zh-CN"/>
        </w:rPr>
      </w:pPr>
      <w:r>
        <w:rPr>
          <w:rFonts w:hint="eastAsia"/>
        </w:rPr>
        <w:t>表A.1中的示例有助于</w:t>
      </w:r>
      <w:r>
        <w:rPr>
          <w:rFonts w:hint="eastAsia"/>
          <w:color w:val="auto"/>
          <w:lang w:eastAsia="zh-CN"/>
        </w:rPr>
        <w:t>管理咨询</w:t>
      </w:r>
      <w:r>
        <w:rPr>
          <w:rFonts w:hint="eastAsia"/>
        </w:rPr>
        <w:t>服务提供方的能力</w:t>
      </w:r>
      <w:r>
        <w:rPr>
          <w:rFonts w:hint="eastAsia"/>
          <w:lang w:eastAsia="zh-CN"/>
        </w:rPr>
        <w:t>。</w:t>
      </w:r>
    </w:p>
    <w:p>
      <w:pPr>
        <w:pStyle w:val="78"/>
        <w:spacing w:before="120" w:after="120"/>
        <w:rPr>
          <w:rFonts w:hint="eastAsia"/>
        </w:rPr>
      </w:pPr>
      <w:r>
        <w:rPr>
          <w:rFonts w:hint="eastAsia"/>
        </w:rPr>
        <w:t>能力</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117"/>
        <w:gridCol w:w="3260"/>
        <w:gridCol w:w="3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8" w:hRule="atLeast"/>
          <w:tblHeader/>
          <w:jc w:val="center"/>
        </w:trPr>
        <w:tc>
          <w:tcPr>
            <w:tcW w:w="5377" w:type="dxa"/>
            <w:gridSpan w:val="2"/>
            <w:tcBorders>
              <w:top w:val="single" w:color="auto" w:sz="8" w:space="0"/>
              <w:bottom w:val="single" w:color="auto" w:sz="8" w:space="0"/>
            </w:tcBorders>
            <w:shd w:val="clear" w:color="auto" w:fill="auto"/>
            <w:vAlign w:val="center"/>
          </w:tcPr>
          <w:p>
            <w:pPr>
              <w:pStyle w:val="179"/>
              <w:rPr>
                <w:rFonts w:hint="eastAsia"/>
              </w:rPr>
            </w:pPr>
            <w:r>
              <w:rPr>
                <w:rFonts w:hint="eastAsia" w:hAnsi="宋体"/>
              </w:rPr>
              <w:t>能力及资源</w:t>
            </w:r>
          </w:p>
        </w:tc>
        <w:tc>
          <w:tcPr>
            <w:tcW w:w="3957" w:type="dxa"/>
            <w:tcBorders>
              <w:top w:val="single" w:color="auto" w:sz="8" w:space="0"/>
              <w:bottom w:val="single" w:color="auto" w:sz="8" w:space="0"/>
            </w:tcBorders>
            <w:shd w:val="clear" w:color="auto" w:fill="auto"/>
            <w:vAlign w:val="center"/>
          </w:tcPr>
          <w:p>
            <w:pPr>
              <w:pStyle w:val="179"/>
              <w:rPr>
                <w:rFonts w:hint="eastAsia"/>
              </w:rPr>
            </w:pPr>
            <w:r>
              <w:rPr>
                <w:rFonts w:hint="eastAsia" w:hAnsi="宋体"/>
              </w:rPr>
              <w:t>示例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restart"/>
            <w:tcBorders>
              <w:top w:val="single" w:color="auto" w:sz="8" w:space="0"/>
            </w:tcBorders>
            <w:shd w:val="clear" w:color="auto" w:fill="auto"/>
            <w:vAlign w:val="center"/>
          </w:tcPr>
          <w:p>
            <w:pPr>
              <w:pStyle w:val="179"/>
              <w:rPr>
                <w:rFonts w:hint="eastAsia"/>
              </w:rPr>
            </w:pPr>
            <w:r>
              <w:rPr>
                <w:rFonts w:hint="eastAsia"/>
              </w:rPr>
              <w:t>团队人员能力</w:t>
            </w:r>
          </w:p>
        </w:tc>
        <w:tc>
          <w:tcPr>
            <w:tcW w:w="3260" w:type="dxa"/>
            <w:tcBorders>
              <w:top w:val="single" w:color="auto" w:sz="8" w:space="0"/>
            </w:tcBorders>
            <w:shd w:val="clear" w:color="auto" w:fill="auto"/>
            <w:vAlign w:val="center"/>
          </w:tcPr>
          <w:p>
            <w:pPr>
              <w:pStyle w:val="179"/>
              <w:rPr>
                <w:rFonts w:hint="eastAsia" w:hAnsi="宋体"/>
                <w:szCs w:val="18"/>
              </w:rPr>
            </w:pPr>
            <w:r>
              <w:rPr>
                <w:rFonts w:hint="eastAsia" w:hAnsi="宋体"/>
                <w:szCs w:val="18"/>
              </w:rPr>
              <w:t>专业能力</w:t>
            </w:r>
          </w:p>
        </w:tc>
        <w:tc>
          <w:tcPr>
            <w:tcW w:w="3957" w:type="dxa"/>
            <w:tcBorders>
              <w:top w:val="single" w:color="auto" w:sz="8" w:space="0"/>
            </w:tcBorders>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行业知识</w:t>
            </w:r>
          </w:p>
          <w:p>
            <w:pPr>
              <w:pStyle w:val="179"/>
              <w:jc w:val="both"/>
              <w:rPr>
                <w:rFonts w:hint="eastAsia" w:hAnsi="宋体"/>
                <w:szCs w:val="18"/>
              </w:rPr>
            </w:pPr>
            <w:r>
              <w:rPr>
                <w:rFonts w:hint="eastAsia" w:hAnsi="宋体"/>
                <w:szCs w:val="18"/>
              </w:rPr>
              <w:t>业务知识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continue"/>
            <w:shd w:val="clear" w:color="auto" w:fill="auto"/>
            <w:vAlign w:val="center"/>
          </w:tcPr>
          <w:p>
            <w:pPr>
              <w:pStyle w:val="179"/>
              <w:rPr>
                <w:rFonts w:hint="eastAsia"/>
              </w:rPr>
            </w:pPr>
          </w:p>
        </w:tc>
        <w:tc>
          <w:tcPr>
            <w:tcW w:w="3260" w:type="dxa"/>
            <w:shd w:val="clear" w:color="auto" w:fill="auto"/>
            <w:vAlign w:val="center"/>
          </w:tcPr>
          <w:p>
            <w:pPr>
              <w:pStyle w:val="179"/>
              <w:rPr>
                <w:rFonts w:hint="eastAsia" w:hAnsi="宋体"/>
                <w:szCs w:val="18"/>
              </w:rPr>
            </w:pPr>
            <w:r>
              <w:rPr>
                <w:rFonts w:hint="eastAsia" w:hAnsi="宋体"/>
                <w:szCs w:val="18"/>
              </w:rPr>
              <w:t>咨询技能</w:t>
            </w:r>
          </w:p>
        </w:tc>
        <w:tc>
          <w:tcPr>
            <w:tcW w:w="3957" w:type="dxa"/>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咨询过程的知识和能力</w:t>
            </w:r>
          </w:p>
          <w:p>
            <w:pPr>
              <w:pStyle w:val="57"/>
              <w:widowControl w:val="0"/>
              <w:ind w:firstLine="0" w:firstLineChars="0"/>
              <w:jc w:val="left"/>
              <w:rPr>
                <w:rFonts w:hint="eastAsia" w:hAnsi="宋体"/>
                <w:sz w:val="18"/>
                <w:szCs w:val="18"/>
              </w:rPr>
            </w:pPr>
            <w:r>
              <w:rPr>
                <w:rFonts w:hint="eastAsia" w:hAnsi="宋体"/>
                <w:sz w:val="18"/>
                <w:szCs w:val="18"/>
              </w:rPr>
              <w:t>认知技能</w:t>
            </w:r>
          </w:p>
          <w:p>
            <w:pPr>
              <w:pStyle w:val="57"/>
              <w:widowControl w:val="0"/>
              <w:ind w:firstLine="0" w:firstLineChars="0"/>
              <w:jc w:val="left"/>
              <w:rPr>
                <w:rFonts w:hint="eastAsia" w:hAnsi="宋体"/>
                <w:sz w:val="18"/>
                <w:szCs w:val="18"/>
              </w:rPr>
            </w:pPr>
            <w:r>
              <w:rPr>
                <w:rFonts w:hint="eastAsia" w:hAnsi="宋体"/>
                <w:sz w:val="18"/>
                <w:szCs w:val="18"/>
              </w:rPr>
              <w:t>解决问题的技能</w:t>
            </w:r>
          </w:p>
          <w:p>
            <w:pPr>
              <w:pStyle w:val="179"/>
              <w:jc w:val="both"/>
              <w:rPr>
                <w:rFonts w:hint="eastAsia" w:hAnsi="宋体"/>
                <w:szCs w:val="18"/>
              </w:rPr>
            </w:pPr>
            <w:r>
              <w:rPr>
                <w:rFonts w:hint="eastAsia" w:hAnsi="宋体"/>
                <w:szCs w:val="18"/>
              </w:rPr>
              <w:t>应变能力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continue"/>
            <w:shd w:val="clear" w:color="auto" w:fill="auto"/>
            <w:vAlign w:val="center"/>
          </w:tcPr>
          <w:p>
            <w:pPr>
              <w:pStyle w:val="179"/>
              <w:rPr>
                <w:rFonts w:hint="eastAsia"/>
              </w:rPr>
            </w:pPr>
          </w:p>
        </w:tc>
        <w:tc>
          <w:tcPr>
            <w:tcW w:w="3260" w:type="dxa"/>
            <w:shd w:val="clear" w:color="auto" w:fill="auto"/>
            <w:vAlign w:val="center"/>
          </w:tcPr>
          <w:p>
            <w:pPr>
              <w:pStyle w:val="179"/>
              <w:rPr>
                <w:rFonts w:hint="eastAsia" w:hAnsi="宋体"/>
                <w:szCs w:val="18"/>
              </w:rPr>
            </w:pPr>
            <w:r>
              <w:rPr>
                <w:rFonts w:hint="eastAsia" w:hAnsi="宋体"/>
                <w:szCs w:val="18"/>
              </w:rPr>
              <w:t>人际技能</w:t>
            </w:r>
          </w:p>
        </w:tc>
        <w:tc>
          <w:tcPr>
            <w:tcW w:w="3957" w:type="dxa"/>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沟通技巧</w:t>
            </w:r>
          </w:p>
          <w:p>
            <w:pPr>
              <w:pStyle w:val="57"/>
              <w:widowControl w:val="0"/>
              <w:ind w:firstLine="0" w:firstLineChars="0"/>
              <w:jc w:val="left"/>
              <w:rPr>
                <w:rFonts w:hint="eastAsia" w:hAnsi="宋体"/>
                <w:sz w:val="18"/>
                <w:szCs w:val="18"/>
              </w:rPr>
            </w:pPr>
            <w:r>
              <w:rPr>
                <w:rFonts w:hint="eastAsia" w:hAnsi="宋体"/>
                <w:sz w:val="18"/>
                <w:szCs w:val="18"/>
              </w:rPr>
              <w:t>冲突管理技能</w:t>
            </w:r>
          </w:p>
          <w:p>
            <w:pPr>
              <w:pStyle w:val="57"/>
              <w:widowControl w:val="0"/>
              <w:ind w:firstLine="0" w:firstLineChars="0"/>
              <w:jc w:val="left"/>
              <w:rPr>
                <w:rFonts w:hint="eastAsia" w:hAnsi="宋体"/>
                <w:sz w:val="18"/>
                <w:szCs w:val="18"/>
              </w:rPr>
            </w:pPr>
            <w:r>
              <w:rPr>
                <w:rFonts w:hint="eastAsia" w:hAnsi="宋体"/>
                <w:sz w:val="18"/>
                <w:szCs w:val="18"/>
              </w:rPr>
              <w:t>关系管理技能</w:t>
            </w:r>
          </w:p>
          <w:p>
            <w:pPr>
              <w:pStyle w:val="179"/>
              <w:jc w:val="both"/>
              <w:rPr>
                <w:rFonts w:hint="eastAsia" w:hAnsi="宋体"/>
                <w:szCs w:val="18"/>
              </w:rPr>
            </w:pPr>
            <w:r>
              <w:rPr>
                <w:rFonts w:hint="eastAsia" w:hAnsi="宋体"/>
                <w:szCs w:val="18"/>
              </w:rPr>
              <w:t>协作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continue"/>
            <w:shd w:val="clear" w:color="auto" w:fill="auto"/>
            <w:vAlign w:val="center"/>
          </w:tcPr>
          <w:p>
            <w:pPr>
              <w:pStyle w:val="179"/>
              <w:rPr>
                <w:rFonts w:hint="eastAsia"/>
              </w:rPr>
            </w:pPr>
          </w:p>
        </w:tc>
        <w:tc>
          <w:tcPr>
            <w:tcW w:w="3260" w:type="dxa"/>
            <w:shd w:val="clear" w:color="auto" w:fill="auto"/>
            <w:vAlign w:val="center"/>
          </w:tcPr>
          <w:p>
            <w:pPr>
              <w:pStyle w:val="179"/>
              <w:rPr>
                <w:rFonts w:hint="eastAsia" w:hAnsi="宋体"/>
                <w:szCs w:val="18"/>
              </w:rPr>
            </w:pPr>
            <w:r>
              <w:rPr>
                <w:rFonts w:hint="eastAsia" w:hAnsi="宋体"/>
                <w:szCs w:val="18"/>
              </w:rPr>
              <w:t>能力提升</w:t>
            </w:r>
          </w:p>
        </w:tc>
        <w:tc>
          <w:tcPr>
            <w:tcW w:w="3957" w:type="dxa"/>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培训计划</w:t>
            </w:r>
          </w:p>
          <w:p>
            <w:pPr>
              <w:pStyle w:val="57"/>
              <w:widowControl w:val="0"/>
              <w:ind w:firstLine="0" w:firstLineChars="0"/>
              <w:jc w:val="left"/>
              <w:rPr>
                <w:rFonts w:hint="eastAsia" w:hAnsi="宋体"/>
                <w:sz w:val="18"/>
                <w:szCs w:val="18"/>
              </w:rPr>
            </w:pPr>
            <w:r>
              <w:rPr>
                <w:rFonts w:hint="eastAsia" w:hAnsi="宋体"/>
                <w:sz w:val="18"/>
                <w:szCs w:val="18"/>
              </w:rPr>
              <w:t>职业发展</w:t>
            </w:r>
          </w:p>
          <w:p>
            <w:pPr>
              <w:pStyle w:val="57"/>
              <w:widowControl w:val="0"/>
              <w:ind w:firstLine="0" w:firstLineChars="0"/>
              <w:jc w:val="left"/>
              <w:rPr>
                <w:rFonts w:hint="eastAsia" w:hAnsi="宋体"/>
                <w:sz w:val="18"/>
                <w:szCs w:val="18"/>
              </w:rPr>
            </w:pPr>
            <w:r>
              <w:rPr>
                <w:rFonts w:hint="eastAsia" w:hAnsi="宋体"/>
                <w:sz w:val="18"/>
                <w:szCs w:val="18"/>
              </w:rPr>
              <w:t>预算和资源分配</w:t>
            </w:r>
          </w:p>
          <w:p>
            <w:pPr>
              <w:pStyle w:val="179"/>
              <w:jc w:val="both"/>
              <w:rPr>
                <w:rFonts w:hint="eastAsia" w:hAnsi="宋体"/>
                <w:szCs w:val="18"/>
              </w:rPr>
            </w:pPr>
            <w:r>
              <w:rPr>
                <w:rFonts w:hint="eastAsia" w:hAnsi="宋体"/>
                <w:szCs w:val="18"/>
              </w:rPr>
              <w:t>持续专业提升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restart"/>
            <w:shd w:val="clear" w:color="auto" w:fill="auto"/>
            <w:vAlign w:val="center"/>
          </w:tcPr>
          <w:p>
            <w:pPr>
              <w:pStyle w:val="179"/>
              <w:rPr>
                <w:rFonts w:hint="eastAsia"/>
              </w:rPr>
            </w:pPr>
            <w:r>
              <w:rPr>
                <w:rFonts w:hint="eastAsia"/>
              </w:rPr>
              <w:t>其他资源</w:t>
            </w:r>
          </w:p>
        </w:tc>
        <w:tc>
          <w:tcPr>
            <w:tcW w:w="3260" w:type="dxa"/>
            <w:shd w:val="clear" w:color="auto" w:fill="auto"/>
            <w:vAlign w:val="center"/>
          </w:tcPr>
          <w:p>
            <w:pPr>
              <w:pStyle w:val="179"/>
              <w:rPr>
                <w:rFonts w:hint="eastAsia" w:hAnsi="宋体"/>
                <w:szCs w:val="18"/>
              </w:rPr>
            </w:pPr>
            <w:r>
              <w:rPr>
                <w:rFonts w:hint="eastAsia" w:hAnsi="宋体"/>
                <w:szCs w:val="18"/>
              </w:rPr>
              <w:t>产品或服务</w:t>
            </w:r>
          </w:p>
        </w:tc>
        <w:tc>
          <w:tcPr>
            <w:tcW w:w="3957" w:type="dxa"/>
            <w:shd w:val="clear" w:color="auto" w:fill="auto"/>
            <w:vAlign w:val="center"/>
          </w:tcPr>
          <w:p>
            <w:pPr>
              <w:pStyle w:val="179"/>
              <w:jc w:val="both"/>
              <w:rPr>
                <w:rFonts w:hint="eastAsia" w:hAnsi="宋体"/>
                <w:szCs w:val="18"/>
              </w:rPr>
            </w:pPr>
            <w:r>
              <w:rPr>
                <w:rFonts w:hint="eastAsia" w:hAnsi="宋体"/>
                <w:szCs w:val="18"/>
              </w:rPr>
              <w:t>六西格玛生产力提升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continue"/>
            <w:shd w:val="clear" w:color="auto" w:fill="auto"/>
            <w:vAlign w:val="center"/>
          </w:tcPr>
          <w:p>
            <w:pPr>
              <w:pStyle w:val="179"/>
              <w:rPr>
                <w:rFonts w:hint="eastAsia"/>
              </w:rPr>
            </w:pPr>
          </w:p>
        </w:tc>
        <w:tc>
          <w:tcPr>
            <w:tcW w:w="3260" w:type="dxa"/>
            <w:shd w:val="clear" w:color="auto" w:fill="auto"/>
            <w:vAlign w:val="center"/>
          </w:tcPr>
          <w:p>
            <w:pPr>
              <w:pStyle w:val="179"/>
              <w:rPr>
                <w:rFonts w:hint="eastAsia" w:hAnsi="宋体"/>
                <w:szCs w:val="18"/>
              </w:rPr>
            </w:pPr>
            <w:r>
              <w:rPr>
                <w:rFonts w:hint="eastAsia" w:hAnsi="宋体"/>
                <w:szCs w:val="18"/>
              </w:rPr>
              <w:t>信息</w:t>
            </w:r>
          </w:p>
        </w:tc>
        <w:tc>
          <w:tcPr>
            <w:tcW w:w="3957" w:type="dxa"/>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市场分析</w:t>
            </w:r>
          </w:p>
          <w:p>
            <w:pPr>
              <w:pStyle w:val="57"/>
              <w:widowControl w:val="0"/>
              <w:ind w:firstLine="0" w:firstLineChars="0"/>
              <w:jc w:val="left"/>
              <w:rPr>
                <w:rFonts w:hint="eastAsia" w:hAnsi="宋体"/>
                <w:sz w:val="18"/>
                <w:szCs w:val="18"/>
              </w:rPr>
            </w:pPr>
            <w:r>
              <w:rPr>
                <w:rFonts w:hint="eastAsia" w:hAnsi="宋体"/>
                <w:sz w:val="18"/>
                <w:szCs w:val="18"/>
              </w:rPr>
              <w:t>成本数据库</w:t>
            </w:r>
          </w:p>
          <w:p>
            <w:pPr>
              <w:pStyle w:val="57"/>
              <w:widowControl w:val="0"/>
              <w:ind w:firstLine="0" w:firstLineChars="0"/>
              <w:jc w:val="left"/>
              <w:rPr>
                <w:rFonts w:hint="eastAsia" w:hAnsi="宋体"/>
                <w:sz w:val="18"/>
                <w:szCs w:val="18"/>
              </w:rPr>
            </w:pPr>
            <w:r>
              <w:rPr>
                <w:rFonts w:hint="eastAsia" w:hAnsi="宋体"/>
                <w:sz w:val="18"/>
                <w:szCs w:val="18"/>
              </w:rPr>
              <w:t>基准</w:t>
            </w:r>
          </w:p>
          <w:p>
            <w:pPr>
              <w:pStyle w:val="179"/>
              <w:jc w:val="both"/>
              <w:rPr>
                <w:rFonts w:hint="eastAsia" w:hAnsi="宋体"/>
                <w:szCs w:val="18"/>
              </w:rPr>
            </w:pPr>
            <w:r>
              <w:rPr>
                <w:rFonts w:hint="eastAsia" w:hAnsi="宋体"/>
                <w:szCs w:val="18"/>
              </w:rPr>
              <w:t>市场信息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continue"/>
            <w:shd w:val="clear" w:color="auto" w:fill="auto"/>
            <w:vAlign w:val="center"/>
          </w:tcPr>
          <w:p>
            <w:pPr>
              <w:pStyle w:val="179"/>
              <w:rPr>
                <w:rFonts w:hint="eastAsia"/>
              </w:rPr>
            </w:pPr>
          </w:p>
        </w:tc>
        <w:tc>
          <w:tcPr>
            <w:tcW w:w="3260" w:type="dxa"/>
            <w:shd w:val="clear" w:color="auto" w:fill="auto"/>
            <w:vAlign w:val="center"/>
          </w:tcPr>
          <w:p>
            <w:pPr>
              <w:pStyle w:val="179"/>
              <w:rPr>
                <w:rFonts w:hint="eastAsia" w:hAnsi="宋体"/>
                <w:szCs w:val="18"/>
              </w:rPr>
            </w:pPr>
            <w:r>
              <w:rPr>
                <w:rFonts w:hint="eastAsia" w:hAnsi="宋体"/>
                <w:szCs w:val="18"/>
              </w:rPr>
              <w:t>研究</w:t>
            </w:r>
          </w:p>
        </w:tc>
        <w:tc>
          <w:tcPr>
            <w:tcW w:w="3957" w:type="dxa"/>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研究报告</w:t>
            </w:r>
          </w:p>
          <w:p>
            <w:pPr>
              <w:pStyle w:val="57"/>
              <w:widowControl w:val="0"/>
              <w:ind w:firstLine="0" w:firstLineChars="0"/>
              <w:jc w:val="left"/>
              <w:rPr>
                <w:rFonts w:hint="eastAsia" w:hAnsi="宋体"/>
                <w:sz w:val="18"/>
                <w:szCs w:val="18"/>
              </w:rPr>
            </w:pPr>
            <w:r>
              <w:rPr>
                <w:rFonts w:hint="eastAsia" w:hAnsi="宋体"/>
                <w:sz w:val="18"/>
                <w:szCs w:val="18"/>
              </w:rPr>
              <w:t>出版的书籍</w:t>
            </w:r>
          </w:p>
          <w:p>
            <w:pPr>
              <w:pStyle w:val="179"/>
              <w:jc w:val="both"/>
              <w:rPr>
                <w:rFonts w:hint="eastAsia" w:hAnsi="宋体"/>
                <w:szCs w:val="18"/>
              </w:rPr>
            </w:pPr>
            <w:r>
              <w:rPr>
                <w:rFonts w:hint="eastAsia" w:hAnsi="宋体"/>
                <w:szCs w:val="18"/>
              </w:rPr>
              <w:t>原始信息和二手信息收集的研究方法（例如访谈、焦点小组、调查、被调查者、直接观察、文献检索、文件、数据库、历史记录）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continue"/>
            <w:shd w:val="clear" w:color="auto" w:fill="auto"/>
            <w:vAlign w:val="center"/>
          </w:tcPr>
          <w:p>
            <w:pPr>
              <w:pStyle w:val="179"/>
              <w:rPr>
                <w:rFonts w:hint="eastAsia"/>
              </w:rPr>
            </w:pPr>
          </w:p>
        </w:tc>
        <w:tc>
          <w:tcPr>
            <w:tcW w:w="3260" w:type="dxa"/>
            <w:shd w:val="clear" w:color="auto" w:fill="auto"/>
            <w:vAlign w:val="center"/>
          </w:tcPr>
          <w:p>
            <w:pPr>
              <w:pStyle w:val="179"/>
              <w:rPr>
                <w:rFonts w:hint="eastAsia" w:hAnsi="宋体"/>
                <w:szCs w:val="18"/>
              </w:rPr>
            </w:pPr>
            <w:r>
              <w:rPr>
                <w:rFonts w:hint="eastAsia" w:hAnsi="宋体"/>
                <w:szCs w:val="18"/>
              </w:rPr>
              <w:t>方法</w:t>
            </w:r>
          </w:p>
        </w:tc>
        <w:tc>
          <w:tcPr>
            <w:tcW w:w="3957" w:type="dxa"/>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风险管理</w:t>
            </w:r>
          </w:p>
          <w:p>
            <w:pPr>
              <w:pStyle w:val="57"/>
              <w:widowControl w:val="0"/>
              <w:ind w:firstLine="0" w:firstLineChars="0"/>
              <w:jc w:val="left"/>
              <w:rPr>
                <w:rFonts w:hint="eastAsia" w:hAnsi="宋体"/>
                <w:sz w:val="18"/>
                <w:szCs w:val="18"/>
              </w:rPr>
            </w:pPr>
            <w:r>
              <w:rPr>
                <w:rFonts w:hint="eastAsia" w:hAnsi="宋体"/>
                <w:sz w:val="18"/>
                <w:szCs w:val="18"/>
              </w:rPr>
              <w:t>应急计划</w:t>
            </w:r>
          </w:p>
          <w:p>
            <w:pPr>
              <w:pStyle w:val="57"/>
              <w:widowControl w:val="0"/>
              <w:ind w:firstLine="0" w:firstLineChars="0"/>
              <w:jc w:val="left"/>
              <w:rPr>
                <w:rFonts w:hint="eastAsia" w:hAnsi="宋体"/>
                <w:sz w:val="18"/>
                <w:szCs w:val="18"/>
              </w:rPr>
            </w:pPr>
            <w:r>
              <w:rPr>
                <w:rFonts w:hint="eastAsia" w:hAnsi="宋体"/>
                <w:sz w:val="18"/>
                <w:szCs w:val="18"/>
              </w:rPr>
              <w:t>业务分析</w:t>
            </w:r>
          </w:p>
          <w:p>
            <w:pPr>
              <w:pStyle w:val="57"/>
              <w:widowControl w:val="0"/>
              <w:ind w:firstLine="0" w:firstLineChars="0"/>
              <w:jc w:val="left"/>
              <w:rPr>
                <w:rFonts w:hint="eastAsia" w:hAnsi="宋体"/>
                <w:sz w:val="18"/>
                <w:szCs w:val="18"/>
              </w:rPr>
            </w:pPr>
            <w:r>
              <w:rPr>
                <w:rFonts w:hint="eastAsia" w:hAnsi="宋体"/>
                <w:sz w:val="18"/>
                <w:szCs w:val="18"/>
              </w:rPr>
              <w:t>变化管理</w:t>
            </w:r>
          </w:p>
          <w:p>
            <w:pPr>
              <w:pStyle w:val="57"/>
              <w:widowControl w:val="0"/>
              <w:ind w:firstLine="0" w:firstLineChars="0"/>
              <w:jc w:val="left"/>
              <w:rPr>
                <w:rFonts w:hint="eastAsia" w:hAnsi="宋体"/>
                <w:sz w:val="18"/>
                <w:szCs w:val="18"/>
              </w:rPr>
            </w:pPr>
            <w:r>
              <w:rPr>
                <w:rFonts w:hint="eastAsia" w:hAnsi="宋体"/>
                <w:sz w:val="18"/>
                <w:szCs w:val="18"/>
              </w:rPr>
              <w:t>优势、劣势、机会与威胁</w:t>
            </w:r>
            <w:r>
              <w:rPr>
                <w:rFonts w:hint="eastAsia" w:hAnsi="宋体"/>
                <w:sz w:val="18"/>
                <w:szCs w:val="18"/>
                <w:lang w:eastAsia="zh-CN"/>
              </w:rPr>
              <w:t>（</w:t>
            </w:r>
            <w:r>
              <w:rPr>
                <w:rFonts w:hint="eastAsia" w:hAnsi="宋体"/>
                <w:sz w:val="18"/>
                <w:szCs w:val="18"/>
              </w:rPr>
              <w:t xml:space="preserve"> SWOT </w:t>
            </w:r>
            <w:r>
              <w:rPr>
                <w:rFonts w:hint="eastAsia" w:hAnsi="宋体"/>
                <w:sz w:val="18"/>
                <w:szCs w:val="18"/>
                <w:lang w:eastAsia="zh-CN"/>
              </w:rPr>
              <w:t>）</w:t>
            </w:r>
            <w:r>
              <w:rPr>
                <w:rFonts w:hint="eastAsia" w:hAnsi="宋体"/>
                <w:sz w:val="18"/>
                <w:szCs w:val="18"/>
              </w:rPr>
              <w:t>分析</w:t>
            </w:r>
          </w:p>
          <w:p>
            <w:pPr>
              <w:pStyle w:val="57"/>
              <w:widowControl w:val="0"/>
              <w:ind w:firstLine="0" w:firstLineChars="0"/>
              <w:jc w:val="left"/>
              <w:rPr>
                <w:rFonts w:hint="eastAsia" w:hAnsi="宋体"/>
                <w:sz w:val="18"/>
                <w:szCs w:val="18"/>
              </w:rPr>
            </w:pPr>
            <w:r>
              <w:rPr>
                <w:rFonts w:hint="eastAsia" w:hAnsi="宋体"/>
                <w:sz w:val="18"/>
                <w:szCs w:val="18"/>
              </w:rPr>
              <w:t>竞争力分析</w:t>
            </w:r>
          </w:p>
          <w:p>
            <w:pPr>
              <w:pStyle w:val="57"/>
              <w:widowControl w:val="0"/>
              <w:ind w:firstLine="0" w:firstLineChars="0"/>
              <w:jc w:val="left"/>
              <w:rPr>
                <w:rFonts w:hint="eastAsia" w:hAnsi="宋体"/>
                <w:sz w:val="18"/>
                <w:szCs w:val="18"/>
              </w:rPr>
            </w:pPr>
            <w:r>
              <w:rPr>
                <w:rFonts w:hint="eastAsia" w:hAnsi="宋体"/>
                <w:sz w:val="18"/>
                <w:szCs w:val="18"/>
              </w:rPr>
              <w:t>最佳管理实践</w:t>
            </w:r>
          </w:p>
          <w:p>
            <w:pPr>
              <w:pStyle w:val="57"/>
              <w:widowControl w:val="0"/>
              <w:ind w:firstLine="0" w:firstLineChars="0"/>
              <w:jc w:val="left"/>
              <w:rPr>
                <w:rFonts w:hint="eastAsia" w:hAnsi="宋体"/>
                <w:sz w:val="18"/>
                <w:szCs w:val="18"/>
              </w:rPr>
            </w:pPr>
            <w:r>
              <w:rPr>
                <w:rFonts w:hint="eastAsia" w:hAnsi="宋体"/>
                <w:sz w:val="18"/>
                <w:szCs w:val="18"/>
              </w:rPr>
              <w:t>质量管理</w:t>
            </w:r>
          </w:p>
          <w:p>
            <w:pPr>
              <w:pStyle w:val="179"/>
              <w:jc w:val="both"/>
              <w:rPr>
                <w:rFonts w:hint="eastAsia" w:hAnsi="宋体"/>
                <w:szCs w:val="18"/>
              </w:rPr>
            </w:pPr>
            <w:r>
              <w:rPr>
                <w:rFonts w:hint="eastAsia" w:hAnsi="宋体"/>
                <w:szCs w:val="18"/>
              </w:rPr>
              <w:t>基准法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continue"/>
            <w:shd w:val="clear" w:color="auto" w:fill="auto"/>
            <w:vAlign w:val="center"/>
          </w:tcPr>
          <w:p>
            <w:pPr>
              <w:pStyle w:val="179"/>
              <w:rPr>
                <w:rFonts w:hint="eastAsia"/>
              </w:rPr>
            </w:pPr>
          </w:p>
        </w:tc>
        <w:tc>
          <w:tcPr>
            <w:tcW w:w="3260" w:type="dxa"/>
            <w:shd w:val="clear" w:color="auto" w:fill="auto"/>
            <w:vAlign w:val="center"/>
          </w:tcPr>
          <w:p>
            <w:pPr>
              <w:pStyle w:val="179"/>
              <w:rPr>
                <w:rFonts w:hint="eastAsia" w:hAnsi="宋体"/>
                <w:szCs w:val="18"/>
              </w:rPr>
            </w:pPr>
            <w:r>
              <w:rPr>
                <w:rFonts w:hint="eastAsia" w:hAnsi="宋体"/>
                <w:szCs w:val="18"/>
              </w:rPr>
              <w:t>工具</w:t>
            </w:r>
          </w:p>
        </w:tc>
        <w:tc>
          <w:tcPr>
            <w:tcW w:w="3957" w:type="dxa"/>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软件</w:t>
            </w:r>
          </w:p>
          <w:p>
            <w:pPr>
              <w:pStyle w:val="179"/>
              <w:jc w:val="both"/>
              <w:rPr>
                <w:rFonts w:hint="eastAsia" w:hAnsi="宋体"/>
                <w:szCs w:val="18"/>
              </w:rPr>
            </w:pPr>
            <w:r>
              <w:rPr>
                <w:rFonts w:hint="eastAsia" w:hAnsi="宋体"/>
                <w:szCs w:val="18"/>
              </w:rPr>
              <w:t>培训软件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117" w:type="dxa"/>
            <w:vMerge w:val="continue"/>
            <w:shd w:val="clear" w:color="auto" w:fill="auto"/>
            <w:vAlign w:val="center"/>
          </w:tcPr>
          <w:p>
            <w:pPr>
              <w:pStyle w:val="179"/>
              <w:rPr>
                <w:rFonts w:hint="eastAsia"/>
              </w:rPr>
            </w:pPr>
          </w:p>
        </w:tc>
        <w:tc>
          <w:tcPr>
            <w:tcW w:w="3260" w:type="dxa"/>
            <w:shd w:val="clear" w:color="auto" w:fill="auto"/>
            <w:vAlign w:val="center"/>
          </w:tcPr>
          <w:p>
            <w:pPr>
              <w:pStyle w:val="179"/>
              <w:rPr>
                <w:rFonts w:hint="eastAsia" w:hAnsi="宋体"/>
                <w:szCs w:val="18"/>
              </w:rPr>
            </w:pPr>
            <w:r>
              <w:rPr>
                <w:rFonts w:hint="eastAsia" w:hAnsi="宋体"/>
                <w:szCs w:val="18"/>
              </w:rPr>
              <w:t>网络</w:t>
            </w:r>
          </w:p>
        </w:tc>
        <w:tc>
          <w:tcPr>
            <w:tcW w:w="3957" w:type="dxa"/>
            <w:shd w:val="clear" w:color="auto" w:fill="auto"/>
            <w:vAlign w:val="center"/>
          </w:tcPr>
          <w:p>
            <w:pPr>
              <w:pStyle w:val="57"/>
              <w:widowControl w:val="0"/>
              <w:ind w:firstLine="0" w:firstLineChars="0"/>
              <w:jc w:val="left"/>
              <w:rPr>
                <w:rFonts w:hint="eastAsia" w:hAnsi="宋体"/>
                <w:sz w:val="18"/>
                <w:szCs w:val="18"/>
              </w:rPr>
            </w:pPr>
            <w:r>
              <w:rPr>
                <w:rFonts w:hint="eastAsia" w:hAnsi="宋体"/>
                <w:sz w:val="18"/>
                <w:szCs w:val="18"/>
              </w:rPr>
              <w:t>市场和行业资源</w:t>
            </w:r>
          </w:p>
        </w:tc>
      </w:tr>
    </w:tbl>
    <w:p>
      <w:pPr>
        <w:pStyle w:val="57"/>
        <w:ind w:firstLine="420"/>
        <w:rPr>
          <w:rFonts w:hint="eastAsia"/>
        </w:rPr>
      </w:pPr>
    </w:p>
    <w:p>
      <w:pPr>
        <w:pStyle w:val="57"/>
        <w:ind w:firstLine="420"/>
        <w:rPr>
          <w:rFonts w:hint="eastAsia"/>
        </w:rPr>
      </w:pPr>
    </w:p>
    <w:p>
      <w:pPr>
        <w:pStyle w:val="57"/>
        <w:ind w:firstLine="420"/>
        <w:rPr>
          <w:rFonts w:hint="eastAsia"/>
        </w:rPr>
      </w:pPr>
    </w:p>
    <w:p>
      <w:pPr>
        <w:pStyle w:val="57"/>
        <w:ind w:firstLine="420"/>
        <w:sectPr>
          <w:pgSz w:w="11906" w:h="16838"/>
          <w:pgMar w:top="1928" w:right="1134" w:bottom="1134" w:left="1134" w:header="1418" w:footer="1134" w:gutter="284"/>
          <w:cols w:space="425" w:num="1"/>
          <w:formProt w:val="0"/>
          <w:docGrid w:linePitch="312" w:charSpace="0"/>
        </w:sectPr>
      </w:pPr>
    </w:p>
    <w:p>
      <w:pPr>
        <w:pStyle w:val="199"/>
        <w:rPr>
          <w:rFonts w:hint="eastAsia"/>
          <w:vanish w:val="0"/>
        </w:rPr>
      </w:pPr>
    </w:p>
    <w:p>
      <w:pPr>
        <w:pStyle w:val="200"/>
        <w:rPr>
          <w:rFonts w:hint="eastAsia"/>
          <w:vanish w:val="0"/>
        </w:rPr>
      </w:pPr>
    </w:p>
    <w:p>
      <w:pPr>
        <w:pStyle w:val="77"/>
        <w:spacing w:after="120"/>
        <w:rPr>
          <w:rFonts w:hint="eastAsia"/>
        </w:rPr>
      </w:pPr>
      <w:r>
        <w:br w:type="textWrapping"/>
      </w:r>
      <w:bookmarkStart w:id="83" w:name="_Toc190187293"/>
      <w:bookmarkStart w:id="84" w:name="_Toc190187271"/>
      <w:r>
        <w:rPr>
          <w:rFonts w:hint="eastAsia"/>
        </w:rPr>
        <w:t>（资料性）</w:t>
      </w:r>
      <w:r>
        <w:br w:type="textWrapping"/>
      </w:r>
      <w:r>
        <w:rPr>
          <w:rFonts w:hint="eastAsia"/>
        </w:rPr>
        <w:t>数字化供应链诊断内容</w:t>
      </w:r>
      <w:bookmarkEnd w:id="83"/>
      <w:bookmarkEnd w:id="84"/>
    </w:p>
    <w:p>
      <w:pPr>
        <w:pStyle w:val="79"/>
        <w:spacing w:before="120" w:after="120"/>
        <w:rPr>
          <w:rFonts w:hint="eastAsia"/>
        </w:rPr>
      </w:pPr>
      <w:bookmarkStart w:id="85" w:name="_Toc190187272"/>
      <w:r>
        <w:rPr>
          <w:rFonts w:hint="eastAsia"/>
        </w:rPr>
        <w:t>基础设施</w:t>
      </w:r>
      <w:bookmarkEnd w:id="85"/>
    </w:p>
    <w:p>
      <w:pPr>
        <w:pStyle w:val="57"/>
        <w:ind w:firstLine="420"/>
        <w:rPr>
          <w:rFonts w:hint="eastAsia"/>
        </w:rPr>
      </w:pPr>
      <w:r>
        <w:rPr>
          <w:rFonts w:hint="eastAsia"/>
        </w:rPr>
        <w:t>数字化供应链基础设施内容包括智能设备、网络与连接、数字化供应链工业互联网应用平台、数据治理与智能算法、信任与安全。智能设备是具备自感知能力的仓储、运输、质检等设备，网络与连接层提供网络互联、数据互通、标识解析服务，数字化供应链工业互联网应用平台通过网络与连接层将存在于智能设备和业务系统的数据进行采集、汇聚、处理与利用，赋能供应链的数字化。数据治理与智能算法从数据底座的建设出发，多维度连接智能设备、关键工序，构建设备、工序、人员多方的知识图谱框架，实现数据与管理人员的实时交互，进而有效提升数据质量。信任与安全层是整个基础设施体系有效、可靠运行的保障。</w:t>
      </w:r>
    </w:p>
    <w:p>
      <w:pPr>
        <w:pStyle w:val="79"/>
        <w:spacing w:before="120" w:after="120"/>
        <w:rPr>
          <w:rFonts w:hint="eastAsia"/>
        </w:rPr>
      </w:pPr>
      <w:bookmarkStart w:id="86" w:name="_Toc190187273"/>
      <w:r>
        <w:rPr>
          <w:rFonts w:hint="eastAsia"/>
        </w:rPr>
        <w:t>业务运作</w:t>
      </w:r>
      <w:bookmarkEnd w:id="86"/>
    </w:p>
    <w:p>
      <w:pPr>
        <w:pStyle w:val="57"/>
        <w:ind w:firstLine="420"/>
        <w:rPr>
          <w:rFonts w:hint="eastAsia"/>
        </w:rPr>
      </w:pPr>
      <w:r>
        <w:rPr>
          <w:rFonts w:hint="eastAsia"/>
        </w:rPr>
        <w:t>数字化供应链业务运作内容包括数字化计划、数字化采购、数字化生产、数字化履约、数字化逆向、韧性供应网络和端到端数字化供应链运营。数字化计划对物料、人力、设备、场地、运力等资源的供需进行优化配置和调整；数字化采购进行供应商管理和采购流程优化；数字化生产应用智能制造装备、智能系统、智能算法和系统工程技术提升制造业务效率；数字化履约对订单全生命周期进行数字化管理；数字化逆向对逆向源的识别、逆向业务执行、实物报废和价值恢复过程进行精准和有效的管理；韧性供应网络为企业各环节业务提供有效的供应网络决策支撑；端到端数字化供应链赋能供应链业务转型，实现端到端数字化供应链运营。</w:t>
      </w:r>
    </w:p>
    <w:p>
      <w:pPr>
        <w:pStyle w:val="79"/>
        <w:spacing w:before="120" w:after="120"/>
        <w:rPr>
          <w:rFonts w:hint="eastAsia"/>
        </w:rPr>
      </w:pPr>
      <w:bookmarkStart w:id="87" w:name="_Toc190187274"/>
      <w:r>
        <w:rPr>
          <w:rFonts w:hint="eastAsia"/>
        </w:rPr>
        <w:t>生态协同</w:t>
      </w:r>
      <w:bookmarkEnd w:id="87"/>
    </w:p>
    <w:p>
      <w:pPr>
        <w:pStyle w:val="57"/>
        <w:ind w:firstLine="420"/>
        <w:rPr>
          <w:rFonts w:hint="eastAsia"/>
        </w:rPr>
      </w:pPr>
      <w:r>
        <w:rPr>
          <w:rFonts w:hint="eastAsia"/>
        </w:rPr>
        <w:t>数字化供应链的生态协同内容包括企业内协同和企业间协同两类。企业内协同是企业内各机构部门在供应链业务、规划、资源、财务等方面协调运行的一种模式，以进度、质量、成本的数字化和可视化为特征，共享企业内部资源，实现企业内部灵活调整。企业间协同是供应链各部分整合业务范围内价值、产业、产品、创新、知识的一种模式，建立数字化战略目标、组织架构、业务流程、信息共享以及物流支撑为一体的新型组织体系，实现供应链上下游企业业务统筹衔接、供应链跨区域资源集聚和资源调配。</w:t>
      </w:r>
    </w:p>
    <w:p>
      <w:pPr>
        <w:pStyle w:val="79"/>
        <w:spacing w:before="120" w:after="120"/>
        <w:rPr>
          <w:rFonts w:hint="eastAsia"/>
        </w:rPr>
      </w:pPr>
      <w:bookmarkStart w:id="88" w:name="_Toc190187275"/>
      <w:r>
        <w:rPr>
          <w:rFonts w:hint="eastAsia"/>
        </w:rPr>
        <w:t>管理保障</w:t>
      </w:r>
      <w:bookmarkEnd w:id="88"/>
    </w:p>
    <w:p>
      <w:pPr>
        <w:pStyle w:val="57"/>
        <w:ind w:firstLine="420"/>
        <w:rPr>
          <w:rFonts w:hint="eastAsia"/>
        </w:rPr>
      </w:pPr>
      <w:r>
        <w:rPr>
          <w:rFonts w:hint="eastAsia"/>
        </w:rPr>
        <w:t>数字化供应链的管理保障内容包括战略设计、组织创新和人才转型三部分。战略设计要求企业立足于自身实际状况，建立战略执行保障体系，为数字化供应链战略目标的有效实施创造有利条件、提供有力保障。组织创新需要供应链企业审视自身战略、找到战略薄弱点及未来突破口，不断创新数字化运营的组织功能，推动数字化战略落地。人才转型需要企业组织培训和考核，培养员工的数字化供应链理念、技能及业务能力。</w:t>
      </w:r>
    </w:p>
    <w:p>
      <w:pPr>
        <w:pStyle w:val="57"/>
        <w:ind w:firstLine="420"/>
        <w:rPr>
          <w:rFonts w:hint="eastAsia"/>
        </w:rPr>
      </w:pPr>
    </w:p>
    <w:p>
      <w:pPr>
        <w:pStyle w:val="57"/>
        <w:ind w:firstLine="420"/>
        <w:rPr>
          <w:rFonts w:hint="eastAsia"/>
        </w:rPr>
      </w:pPr>
    </w:p>
    <w:p>
      <w:pPr>
        <w:pStyle w:val="57"/>
        <w:ind w:firstLine="420"/>
        <w:sectPr>
          <w:pgSz w:w="11906" w:h="16838"/>
          <w:pgMar w:top="1928" w:right="1134" w:bottom="1134" w:left="1134" w:header="1418" w:footer="1134" w:gutter="284"/>
          <w:cols w:space="425" w:num="1"/>
          <w:formProt w:val="0"/>
          <w:docGrid w:linePitch="312" w:charSpace="0"/>
        </w:sectPr>
      </w:pPr>
    </w:p>
    <w:p>
      <w:pPr>
        <w:pStyle w:val="199"/>
        <w:rPr>
          <w:rFonts w:hint="eastAsia"/>
          <w:vanish w:val="0"/>
        </w:rPr>
      </w:pPr>
    </w:p>
    <w:p>
      <w:pPr>
        <w:pStyle w:val="200"/>
        <w:rPr>
          <w:rFonts w:hint="eastAsia"/>
          <w:vanish w:val="0"/>
        </w:rPr>
      </w:pPr>
    </w:p>
    <w:p>
      <w:pPr>
        <w:pStyle w:val="77"/>
        <w:spacing w:after="120"/>
        <w:rPr>
          <w:rFonts w:hint="eastAsia"/>
        </w:rPr>
      </w:pPr>
      <w:r>
        <w:br w:type="textWrapping"/>
      </w:r>
      <w:bookmarkStart w:id="89" w:name="_Toc190187276"/>
      <w:bookmarkStart w:id="90" w:name="_Toc190187294"/>
      <w:r>
        <w:rPr>
          <w:rFonts w:hint="eastAsia"/>
        </w:rPr>
        <w:t>（资料性）</w:t>
      </w:r>
      <w:r>
        <w:br w:type="textWrapping"/>
      </w:r>
      <w:bookmarkEnd w:id="89"/>
      <w:bookmarkEnd w:id="90"/>
      <w:r>
        <w:rPr>
          <w:rFonts w:hint="eastAsia"/>
        </w:rPr>
        <w:t>数字化供应链绩效、流程、技术、人员管理咨询的工具和方法</w:t>
      </w:r>
    </w:p>
    <w:p>
      <w:pPr>
        <w:pStyle w:val="79"/>
        <w:spacing w:before="120" w:after="120"/>
        <w:rPr>
          <w:rFonts w:hint="eastAsia"/>
        </w:rPr>
      </w:pPr>
      <w:bookmarkStart w:id="91" w:name="_Toc190187277"/>
      <w:r>
        <w:rPr>
          <w:rFonts w:hint="eastAsia"/>
        </w:rPr>
        <w:t>数字化供应链绩效管理咨询工具和方法</w:t>
      </w:r>
      <w:bookmarkEnd w:id="91"/>
    </w:p>
    <w:p>
      <w:pPr>
        <w:pStyle w:val="80"/>
        <w:spacing w:before="120" w:after="120"/>
        <w:rPr>
          <w:rFonts w:hint="eastAsia"/>
        </w:rPr>
      </w:pPr>
      <w:r>
        <w:rPr>
          <w:rFonts w:hint="eastAsia"/>
        </w:rPr>
        <w:t>绩效评估</w:t>
      </w:r>
    </w:p>
    <w:p>
      <w:pPr>
        <w:pStyle w:val="57"/>
        <w:ind w:firstLine="420"/>
        <w:rPr>
          <w:rFonts w:hint="eastAsia"/>
        </w:rPr>
      </w:pPr>
      <w:r>
        <w:rPr>
          <w:rFonts w:hint="eastAsia"/>
        </w:rPr>
        <w:t>该部分关注数字化供应链的整体绩效评估，包括如成熟度、数字化水平、协同度等绩效指标。</w:t>
      </w:r>
    </w:p>
    <w:p>
      <w:pPr>
        <w:pStyle w:val="57"/>
        <w:ind w:firstLine="420"/>
        <w:rPr>
          <w:rFonts w:hint="eastAsia"/>
        </w:rPr>
      </w:pPr>
      <w:r>
        <w:rPr>
          <w:rFonts w:hint="eastAsia"/>
        </w:rPr>
        <w:t>推荐方法和工具，包括但不限于：</w:t>
      </w:r>
    </w:p>
    <w:p>
      <w:pPr>
        <w:pStyle w:val="57"/>
        <w:ind w:firstLine="420"/>
        <w:rPr>
          <w:rFonts w:hint="eastAsia"/>
        </w:rPr>
      </w:pPr>
      <w:r>
        <w:rPr>
          <w:rFonts w:hint="eastAsia"/>
        </w:rPr>
        <w:t>---数字化供应链成熟度评估工具；</w:t>
      </w:r>
    </w:p>
    <w:p>
      <w:pPr>
        <w:pStyle w:val="57"/>
        <w:ind w:firstLine="420"/>
        <w:rPr>
          <w:rFonts w:hint="eastAsia"/>
        </w:rPr>
      </w:pPr>
      <w:r>
        <w:rPr>
          <w:rFonts w:hint="eastAsia"/>
        </w:rPr>
        <w:t>---数字化供应链水平评测指标；</w:t>
      </w:r>
    </w:p>
    <w:p>
      <w:pPr>
        <w:pStyle w:val="57"/>
        <w:ind w:firstLine="420"/>
        <w:rPr>
          <w:rFonts w:hint="eastAsia"/>
        </w:rPr>
      </w:pPr>
      <w:r>
        <w:rPr>
          <w:rFonts w:hint="eastAsia"/>
        </w:rPr>
        <w:t>---供应链协同度评估模型。</w:t>
      </w:r>
    </w:p>
    <w:p>
      <w:pPr>
        <w:pStyle w:val="80"/>
        <w:spacing w:before="120" w:after="120"/>
        <w:rPr>
          <w:rFonts w:hint="eastAsia"/>
        </w:rPr>
      </w:pPr>
      <w:r>
        <w:rPr>
          <w:rFonts w:hint="eastAsia"/>
        </w:rPr>
        <w:t>绩效归因</w:t>
      </w:r>
    </w:p>
    <w:p>
      <w:pPr>
        <w:pStyle w:val="57"/>
        <w:ind w:firstLine="420"/>
        <w:rPr>
          <w:rFonts w:hint="eastAsia"/>
        </w:rPr>
      </w:pPr>
      <w:r>
        <w:rPr>
          <w:rFonts w:hint="eastAsia"/>
        </w:rPr>
        <w:t>该部分识别影响数字化供应链整体绩效的因素。</w:t>
      </w:r>
    </w:p>
    <w:p>
      <w:pPr>
        <w:pStyle w:val="57"/>
        <w:ind w:firstLine="420"/>
        <w:rPr>
          <w:rFonts w:hint="eastAsia"/>
        </w:rPr>
      </w:pPr>
      <w:r>
        <w:rPr>
          <w:rFonts w:hint="eastAsia"/>
        </w:rPr>
        <w:t>推荐方法和工具，包括但不限于：</w:t>
      </w:r>
    </w:p>
    <w:p>
      <w:pPr>
        <w:pStyle w:val="57"/>
        <w:ind w:firstLine="420"/>
        <w:rPr>
          <w:rFonts w:hint="eastAsia"/>
        </w:rPr>
      </w:pPr>
      <w:r>
        <w:rPr>
          <w:rFonts w:hint="eastAsia"/>
        </w:rPr>
        <w:t>---回归分析；</w:t>
      </w:r>
    </w:p>
    <w:p>
      <w:pPr>
        <w:pStyle w:val="57"/>
        <w:ind w:firstLine="420"/>
        <w:rPr>
          <w:rFonts w:hint="eastAsia"/>
        </w:rPr>
      </w:pPr>
      <w:r>
        <w:rPr>
          <w:rFonts w:hint="eastAsia"/>
        </w:rPr>
        <w:t>---因果分析；</w:t>
      </w:r>
    </w:p>
    <w:p>
      <w:pPr>
        <w:pStyle w:val="57"/>
        <w:ind w:firstLine="420"/>
        <w:rPr>
          <w:rFonts w:hint="eastAsia"/>
        </w:rPr>
      </w:pPr>
      <w:r>
        <w:rPr>
          <w:rFonts w:hint="eastAsia"/>
        </w:rPr>
        <w:t>---方差分析。</w:t>
      </w:r>
    </w:p>
    <w:p>
      <w:pPr>
        <w:pStyle w:val="80"/>
        <w:spacing w:before="120" w:after="120"/>
        <w:rPr>
          <w:rFonts w:hint="eastAsia"/>
        </w:rPr>
      </w:pPr>
      <w:r>
        <w:rPr>
          <w:rFonts w:hint="eastAsia"/>
        </w:rPr>
        <w:t>绩效预测</w:t>
      </w:r>
    </w:p>
    <w:p>
      <w:pPr>
        <w:pStyle w:val="57"/>
        <w:ind w:firstLine="420"/>
        <w:rPr>
          <w:rFonts w:hint="eastAsia"/>
        </w:rPr>
      </w:pPr>
      <w:r>
        <w:rPr>
          <w:rFonts w:hint="eastAsia"/>
        </w:rPr>
        <w:t>该部分预测数字化供应链整体绩效的未来发展趋势。</w:t>
      </w:r>
    </w:p>
    <w:p>
      <w:pPr>
        <w:pStyle w:val="57"/>
        <w:ind w:firstLine="420"/>
        <w:rPr>
          <w:rFonts w:hint="eastAsia"/>
        </w:rPr>
      </w:pPr>
      <w:r>
        <w:rPr>
          <w:rFonts w:hint="eastAsia"/>
        </w:rPr>
        <w:t>推荐方法和工具，包括但不限于：</w:t>
      </w:r>
    </w:p>
    <w:p>
      <w:pPr>
        <w:pStyle w:val="57"/>
        <w:ind w:firstLine="420"/>
        <w:rPr>
          <w:rFonts w:hint="eastAsia"/>
        </w:rPr>
      </w:pPr>
      <w:r>
        <w:rPr>
          <w:rFonts w:hint="eastAsia"/>
        </w:rPr>
        <w:t>---时间序列分析；</w:t>
      </w:r>
    </w:p>
    <w:p>
      <w:pPr>
        <w:pStyle w:val="57"/>
        <w:ind w:firstLine="420"/>
        <w:rPr>
          <w:rFonts w:hint="eastAsia"/>
        </w:rPr>
      </w:pPr>
      <w:r>
        <w:rPr>
          <w:rFonts w:hint="eastAsia"/>
        </w:rPr>
        <w:t>---机器学习算法。</w:t>
      </w:r>
    </w:p>
    <w:p>
      <w:pPr>
        <w:pStyle w:val="79"/>
        <w:spacing w:before="120" w:after="120"/>
        <w:rPr>
          <w:rFonts w:hint="eastAsia"/>
        </w:rPr>
      </w:pPr>
      <w:bookmarkStart w:id="92" w:name="_Toc190187278"/>
      <w:r>
        <w:rPr>
          <w:rFonts w:hint="eastAsia"/>
        </w:rPr>
        <w:t>数字化供应链流程管理咨询工具和方法</w:t>
      </w:r>
      <w:bookmarkEnd w:id="92"/>
    </w:p>
    <w:p>
      <w:pPr>
        <w:pStyle w:val="80"/>
        <w:spacing w:before="120" w:after="120"/>
        <w:rPr>
          <w:rFonts w:hint="eastAsia"/>
        </w:rPr>
      </w:pPr>
      <w:r>
        <w:rPr>
          <w:rFonts w:hint="eastAsia"/>
        </w:rPr>
        <w:t>编排流程</w:t>
      </w:r>
    </w:p>
    <w:p>
      <w:pPr>
        <w:pStyle w:val="57"/>
        <w:ind w:firstLine="420"/>
        <w:rPr>
          <w:rFonts w:hint="eastAsia"/>
        </w:rPr>
      </w:pPr>
      <w:r>
        <w:rPr>
          <w:rFonts w:hint="eastAsia"/>
        </w:rPr>
        <w:t>该流程涉及整合和实现供应链战略相关的活动。其中包括创建和管理供应链战略、业务规则、数据和技术以及人力资源等。</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---SWOT分析</w:t>
      </w:r>
    </w:p>
    <w:p>
      <w:pPr>
        <w:pStyle w:val="57"/>
        <w:ind w:firstLine="420"/>
        <w:rPr>
          <w:rFonts w:hint="eastAsia"/>
        </w:rPr>
      </w:pPr>
      <w:r>
        <w:rPr>
          <w:rFonts w:hint="eastAsia"/>
        </w:rPr>
        <w:t>---价值链分析</w:t>
      </w:r>
    </w:p>
    <w:p>
      <w:pPr>
        <w:pStyle w:val="80"/>
        <w:spacing w:before="120" w:after="120"/>
        <w:rPr>
          <w:rFonts w:hint="eastAsia"/>
        </w:rPr>
      </w:pPr>
      <w:r>
        <w:rPr>
          <w:rFonts w:hint="eastAsia"/>
        </w:rPr>
        <w:t>计划流程</w:t>
      </w:r>
    </w:p>
    <w:p>
      <w:pPr>
        <w:pStyle w:val="57"/>
        <w:ind w:firstLine="420"/>
        <w:rPr>
          <w:rFonts w:hint="eastAsia"/>
        </w:rPr>
      </w:pPr>
      <w:r>
        <w:rPr>
          <w:rFonts w:hint="eastAsia"/>
        </w:rPr>
        <w:t>该流程涉及制定供应链运营计划相关的活动。</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---质量功能展开模型；</w:t>
      </w:r>
    </w:p>
    <w:p>
      <w:pPr>
        <w:pStyle w:val="57"/>
        <w:ind w:firstLine="420"/>
        <w:rPr>
          <w:rFonts w:hint="eastAsia"/>
        </w:rPr>
      </w:pPr>
      <w:r>
        <w:rPr>
          <w:rFonts w:hint="eastAsia"/>
        </w:rPr>
        <w:t>---销售和运营计划；</w:t>
      </w:r>
    </w:p>
    <w:p>
      <w:pPr>
        <w:pStyle w:val="57"/>
        <w:ind w:firstLine="420"/>
        <w:rPr>
          <w:rFonts w:hint="eastAsia"/>
        </w:rPr>
      </w:pPr>
      <w:r>
        <w:rPr>
          <w:rFonts w:hint="eastAsia"/>
        </w:rPr>
        <w:t>---物料需求计划；</w:t>
      </w:r>
    </w:p>
    <w:p>
      <w:pPr>
        <w:pStyle w:val="57"/>
        <w:ind w:firstLine="420"/>
        <w:rPr>
          <w:rFonts w:hint="eastAsia"/>
        </w:rPr>
      </w:pPr>
      <w:r>
        <w:rPr>
          <w:rFonts w:hint="eastAsia"/>
        </w:rPr>
        <w:t>---分销需求计划。</w:t>
      </w:r>
    </w:p>
    <w:p>
      <w:pPr>
        <w:pStyle w:val="80"/>
        <w:spacing w:before="120" w:after="120"/>
        <w:rPr>
          <w:rFonts w:hint="eastAsia"/>
        </w:rPr>
      </w:pPr>
      <w:r>
        <w:rPr>
          <w:rFonts w:hint="eastAsia"/>
        </w:rPr>
        <w:t>订单流程</w:t>
      </w:r>
    </w:p>
    <w:p>
      <w:pPr>
        <w:pStyle w:val="57"/>
        <w:ind w:firstLine="420"/>
        <w:rPr>
          <w:rFonts w:hint="eastAsia"/>
        </w:rPr>
      </w:pPr>
      <w:r>
        <w:rPr>
          <w:rFonts w:hint="eastAsia"/>
        </w:rPr>
        <w:t>该流程涉及与客户购买产品和服务相关的活动，包括位置、支付方式、定价、履行状态和其他订单数据等。</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---看板管理；</w:t>
      </w:r>
    </w:p>
    <w:p>
      <w:pPr>
        <w:pStyle w:val="57"/>
        <w:ind w:firstLine="420"/>
        <w:rPr>
          <w:rFonts w:hint="eastAsia"/>
        </w:rPr>
      </w:pPr>
      <w:r>
        <w:rPr>
          <w:rFonts w:hint="eastAsia"/>
        </w:rPr>
        <w:t>---看板卡拉杰克矩阵。</w:t>
      </w:r>
    </w:p>
    <w:p>
      <w:pPr>
        <w:pStyle w:val="80"/>
        <w:spacing w:before="120" w:after="120"/>
        <w:rPr>
          <w:rFonts w:hint="eastAsia"/>
        </w:rPr>
      </w:pPr>
      <w:r>
        <w:rPr>
          <w:rFonts w:hint="eastAsia"/>
        </w:rPr>
        <w:t>采购流程</w:t>
      </w:r>
    </w:p>
    <w:p>
      <w:pPr>
        <w:pStyle w:val="57"/>
        <w:ind w:firstLine="420"/>
        <w:rPr>
          <w:rFonts w:hint="eastAsia"/>
        </w:rPr>
      </w:pPr>
      <w:r>
        <w:rPr>
          <w:rFonts w:hint="eastAsia"/>
        </w:rPr>
        <w:t>该流程涉及与产品或服务的采购、订购和安排订购、交付、接收和转移有关的活动。</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---供应商评价与选择体系；</w:t>
      </w:r>
    </w:p>
    <w:p>
      <w:pPr>
        <w:pStyle w:val="57"/>
        <w:ind w:firstLine="420"/>
        <w:rPr>
          <w:rFonts w:hint="eastAsia"/>
        </w:rPr>
      </w:pPr>
      <w:r>
        <w:rPr>
          <w:rFonts w:hint="eastAsia"/>
        </w:rPr>
        <w:t>---ABC分析法。</w:t>
      </w:r>
    </w:p>
    <w:p>
      <w:pPr>
        <w:pStyle w:val="80"/>
        <w:spacing w:before="120" w:after="120"/>
        <w:rPr>
          <w:rFonts w:hint="eastAsia"/>
        </w:rPr>
      </w:pPr>
      <w:r>
        <w:rPr>
          <w:rFonts w:hint="eastAsia"/>
          <w:lang w:eastAsia="zh-CN"/>
        </w:rPr>
        <w:t>生产</w:t>
      </w:r>
      <w:r>
        <w:rPr>
          <w:rFonts w:hint="eastAsia"/>
        </w:rPr>
        <w:t>流程</w:t>
      </w:r>
    </w:p>
    <w:p>
      <w:pPr>
        <w:pStyle w:val="57"/>
        <w:ind w:firstLine="420"/>
        <w:rPr>
          <w:rFonts w:hint="eastAsia"/>
        </w:rPr>
      </w:pPr>
      <w:r>
        <w:rPr>
          <w:rFonts w:hint="eastAsia"/>
        </w:rPr>
        <w:t>该流程涉及与计划和创建产品</w:t>
      </w:r>
      <w:r>
        <w:rPr>
          <w:rFonts w:hint="eastAsia"/>
          <w:lang w:eastAsia="zh-CN"/>
        </w:rPr>
        <w:t>（</w:t>
      </w:r>
      <w:r>
        <w:rPr>
          <w:rFonts w:hint="eastAsia"/>
        </w:rPr>
        <w:t>例如，生产、组装/拆卸、MRO</w:t>
      </w:r>
      <w:r>
        <w:rPr>
          <w:rFonts w:hint="eastAsia"/>
          <w:lang w:eastAsia="zh-CN"/>
        </w:rPr>
        <w:t>）</w:t>
      </w:r>
      <w:r>
        <w:rPr>
          <w:rFonts w:hint="eastAsia"/>
        </w:rPr>
        <w:t>和服务相关的活动。</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---价值流分析；</w:t>
      </w:r>
    </w:p>
    <w:p>
      <w:pPr>
        <w:pStyle w:val="57"/>
        <w:ind w:firstLine="420"/>
        <w:rPr>
          <w:rFonts w:hint="eastAsia"/>
        </w:rPr>
      </w:pPr>
      <w:r>
        <w:rPr>
          <w:rFonts w:hint="eastAsia"/>
        </w:rPr>
        <w:t>---6西格玛；</w:t>
      </w:r>
    </w:p>
    <w:p>
      <w:pPr>
        <w:pStyle w:val="57"/>
        <w:ind w:firstLine="420"/>
        <w:rPr>
          <w:rFonts w:hint="eastAsia"/>
        </w:rPr>
      </w:pPr>
      <w:r>
        <w:rPr>
          <w:rFonts w:hint="eastAsia"/>
        </w:rPr>
        <w:t>---双箱系统。</w:t>
      </w:r>
    </w:p>
    <w:p>
      <w:pPr>
        <w:pStyle w:val="80"/>
        <w:spacing w:before="120" w:after="120"/>
        <w:rPr>
          <w:rFonts w:hint="eastAsia"/>
        </w:rPr>
      </w:pPr>
      <w:r>
        <w:rPr>
          <w:rFonts w:hint="eastAsia"/>
        </w:rPr>
        <w:t>履约流程</w:t>
      </w:r>
    </w:p>
    <w:p>
      <w:pPr>
        <w:pStyle w:val="57"/>
        <w:ind w:firstLine="420"/>
        <w:rPr>
          <w:rFonts w:hint="eastAsia"/>
        </w:rPr>
      </w:pPr>
      <w:r>
        <w:rPr>
          <w:rFonts w:hint="eastAsia"/>
        </w:rPr>
        <w:t>该流程涉及与完成客户订单或服务相关的活动，包括安排订单交付、定价、包装、运输、安装、调试和开发票。</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---网络优化模型；</w:t>
      </w:r>
    </w:p>
    <w:p>
      <w:pPr>
        <w:pStyle w:val="57"/>
        <w:ind w:firstLine="420"/>
        <w:rPr>
          <w:rFonts w:hint="eastAsia"/>
        </w:rPr>
      </w:pPr>
      <w:r>
        <w:rPr>
          <w:rFonts w:hint="eastAsia"/>
        </w:rPr>
        <w:t>---动态路线规划。</w:t>
      </w:r>
    </w:p>
    <w:p>
      <w:pPr>
        <w:pStyle w:val="80"/>
        <w:spacing w:before="120" w:after="120"/>
        <w:rPr>
          <w:rFonts w:hint="eastAsia"/>
        </w:rPr>
      </w:pPr>
      <w:r>
        <w:rPr>
          <w:rFonts w:hint="eastAsia"/>
          <w:lang w:eastAsia="zh-CN"/>
        </w:rPr>
        <w:t>逆向</w:t>
      </w:r>
      <w:r>
        <w:rPr>
          <w:rFonts w:hint="eastAsia"/>
        </w:rPr>
        <w:t>流程</w:t>
      </w:r>
    </w:p>
    <w:p>
      <w:pPr>
        <w:pStyle w:val="57"/>
        <w:ind w:firstLine="420"/>
        <w:rPr>
          <w:rFonts w:hint="eastAsia"/>
        </w:rPr>
      </w:pPr>
      <w:r>
        <w:rPr>
          <w:rFonts w:hint="eastAsia"/>
        </w:rPr>
        <w:t>该流程涉及与商品、服务和任何服务组件的反向流动相关的活动，从客户返回到供应/服务链，以诊断状况、评估权利，并将其分配回转换或其他循环活动。</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---客户满意度分析；</w:t>
      </w:r>
    </w:p>
    <w:p>
      <w:pPr>
        <w:pStyle w:val="57"/>
        <w:ind w:firstLine="420"/>
        <w:rPr>
          <w:rFonts w:hint="eastAsia"/>
        </w:rPr>
      </w:pPr>
      <w:r>
        <w:rPr>
          <w:rFonts w:hint="eastAsia"/>
        </w:rPr>
        <w:t>---成本效益分析；</w:t>
      </w:r>
    </w:p>
    <w:p>
      <w:pPr>
        <w:pStyle w:val="57"/>
        <w:ind w:firstLine="420"/>
        <w:rPr>
          <w:rFonts w:hint="eastAsia"/>
        </w:rPr>
      </w:pPr>
      <w:r>
        <w:rPr>
          <w:rFonts w:hint="eastAsia"/>
        </w:rPr>
        <w:t>---价值流图。</w:t>
      </w:r>
    </w:p>
    <w:p>
      <w:pPr>
        <w:pStyle w:val="79"/>
        <w:spacing w:before="120" w:after="120"/>
        <w:rPr>
          <w:rFonts w:hint="eastAsia"/>
        </w:rPr>
      </w:pPr>
      <w:bookmarkStart w:id="93" w:name="_Toc190187279"/>
      <w:r>
        <w:rPr>
          <w:rFonts w:hint="eastAsia"/>
        </w:rPr>
        <w:t>数字化供应链</w:t>
      </w:r>
      <w:r>
        <w:rPr>
          <w:rFonts w:hint="eastAsia"/>
          <w:lang w:eastAsia="zh-CN"/>
        </w:rPr>
        <w:t>技术</w:t>
      </w:r>
      <w:r>
        <w:rPr>
          <w:rFonts w:hint="eastAsia"/>
        </w:rPr>
        <w:t>管理咨询工具和方法</w:t>
      </w:r>
      <w:bookmarkEnd w:id="93"/>
    </w:p>
    <w:p>
      <w:pPr>
        <w:pStyle w:val="80"/>
        <w:spacing w:before="120" w:after="120"/>
        <w:rPr>
          <w:rFonts w:hint="eastAsia"/>
        </w:rPr>
      </w:pPr>
      <w:r>
        <w:rPr>
          <w:rFonts w:hint="eastAsia"/>
        </w:rPr>
        <w:t>新兴技术</w:t>
      </w:r>
    </w:p>
    <w:p>
      <w:pPr>
        <w:pStyle w:val="57"/>
        <w:ind w:firstLine="420"/>
        <w:rPr>
          <w:rFonts w:hint="eastAsia"/>
        </w:rPr>
      </w:pPr>
      <w:r>
        <w:rPr>
          <w:rFonts w:hint="eastAsia"/>
        </w:rPr>
        <w:t>该部分提倡引入新兴技术用于数字供应链管理。</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---大数据技术；</w:t>
      </w:r>
    </w:p>
    <w:p>
      <w:pPr>
        <w:pStyle w:val="57"/>
        <w:ind w:firstLine="420"/>
        <w:rPr>
          <w:rFonts w:hint="eastAsia"/>
        </w:rPr>
      </w:pPr>
      <w:r>
        <w:rPr>
          <w:rFonts w:hint="eastAsia"/>
        </w:rPr>
        <w:t>---云计算技术；</w:t>
      </w:r>
    </w:p>
    <w:p>
      <w:pPr>
        <w:pStyle w:val="57"/>
        <w:ind w:firstLine="420"/>
        <w:rPr>
          <w:rFonts w:hint="eastAsia"/>
        </w:rPr>
      </w:pPr>
      <w:r>
        <w:rPr>
          <w:rFonts w:hint="eastAsia"/>
        </w:rPr>
        <w:t>---区块链技术；</w:t>
      </w:r>
    </w:p>
    <w:p>
      <w:pPr>
        <w:pStyle w:val="57"/>
        <w:ind w:firstLine="420"/>
        <w:rPr>
          <w:rFonts w:hint="eastAsia"/>
        </w:rPr>
      </w:pPr>
      <w:r>
        <w:rPr>
          <w:rFonts w:hint="eastAsia"/>
        </w:rPr>
        <w:t>---物联网技术；</w:t>
      </w:r>
    </w:p>
    <w:p>
      <w:pPr>
        <w:pStyle w:val="57"/>
        <w:ind w:firstLine="420"/>
        <w:rPr>
          <w:rFonts w:hint="eastAsia"/>
        </w:rPr>
      </w:pPr>
      <w:r>
        <w:rPr>
          <w:rFonts w:hint="eastAsia"/>
        </w:rPr>
        <w:t>---人工智能技术。</w:t>
      </w:r>
    </w:p>
    <w:p>
      <w:pPr>
        <w:pStyle w:val="80"/>
        <w:spacing w:before="120" w:after="120"/>
        <w:rPr>
          <w:rFonts w:hint="eastAsia"/>
        </w:rPr>
      </w:pPr>
      <w:r>
        <w:rPr>
          <w:rFonts w:hint="eastAsia"/>
        </w:rPr>
        <w:t>系统类解决方案</w:t>
      </w:r>
    </w:p>
    <w:p>
      <w:pPr>
        <w:pStyle w:val="57"/>
        <w:ind w:firstLine="420"/>
        <w:rPr>
          <w:rFonts w:hint="eastAsia"/>
        </w:rPr>
      </w:pPr>
      <w:r>
        <w:rPr>
          <w:rFonts w:hint="eastAsia"/>
        </w:rPr>
        <w:t>该部分通过开发相关系统实现数字供应链管理。</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---企业资源规划系统；</w:t>
      </w:r>
    </w:p>
    <w:p>
      <w:pPr>
        <w:pStyle w:val="57"/>
        <w:ind w:firstLine="420"/>
        <w:rPr>
          <w:rFonts w:hint="eastAsia"/>
        </w:rPr>
      </w:pPr>
      <w:r>
        <w:rPr>
          <w:rFonts w:hint="eastAsia"/>
        </w:rPr>
        <w:t>---供应链管理系统；</w:t>
      </w:r>
    </w:p>
    <w:p>
      <w:pPr>
        <w:pStyle w:val="57"/>
        <w:ind w:firstLine="420"/>
        <w:rPr>
          <w:rFonts w:hint="eastAsia"/>
        </w:rPr>
      </w:pPr>
      <w:r>
        <w:rPr>
          <w:rFonts w:hint="eastAsia"/>
        </w:rPr>
        <w:t>---供应商关系管理系统；</w:t>
      </w:r>
    </w:p>
    <w:p>
      <w:pPr>
        <w:pStyle w:val="57"/>
        <w:ind w:firstLine="420"/>
        <w:rPr>
          <w:rFonts w:hint="eastAsia"/>
        </w:rPr>
      </w:pPr>
      <w:r>
        <w:rPr>
          <w:rFonts w:hint="eastAsia"/>
        </w:rPr>
        <w:t>---高级计划与排程系统；</w:t>
      </w:r>
    </w:p>
    <w:p>
      <w:pPr>
        <w:pStyle w:val="57"/>
        <w:ind w:firstLine="420"/>
        <w:rPr>
          <w:rFonts w:hint="eastAsia"/>
        </w:rPr>
      </w:pPr>
      <w:r>
        <w:rPr>
          <w:rFonts w:hint="eastAsia"/>
        </w:rPr>
        <w:t>---制造执行系统；</w:t>
      </w:r>
    </w:p>
    <w:p>
      <w:pPr>
        <w:pStyle w:val="57"/>
        <w:ind w:firstLine="420"/>
        <w:rPr>
          <w:rFonts w:hint="eastAsia"/>
        </w:rPr>
      </w:pPr>
      <w:r>
        <w:rPr>
          <w:rFonts w:hint="eastAsia"/>
        </w:rPr>
        <w:t>---仓库管理系统；</w:t>
      </w:r>
    </w:p>
    <w:p>
      <w:pPr>
        <w:pStyle w:val="57"/>
        <w:ind w:firstLine="420"/>
        <w:rPr>
          <w:rFonts w:hint="eastAsia"/>
        </w:rPr>
      </w:pPr>
      <w:r>
        <w:rPr>
          <w:rFonts w:hint="eastAsia"/>
        </w:rPr>
        <w:t>---库存管理系统；</w:t>
      </w:r>
    </w:p>
    <w:p>
      <w:pPr>
        <w:pStyle w:val="57"/>
        <w:ind w:firstLine="420"/>
        <w:rPr>
          <w:rFonts w:hint="eastAsia"/>
        </w:rPr>
      </w:pPr>
      <w:r>
        <w:rPr>
          <w:rFonts w:hint="eastAsia"/>
        </w:rPr>
        <w:t>---运输管理系统；</w:t>
      </w:r>
    </w:p>
    <w:p>
      <w:pPr>
        <w:pStyle w:val="57"/>
        <w:ind w:firstLine="420"/>
        <w:rPr>
          <w:rFonts w:hint="eastAsia"/>
        </w:rPr>
      </w:pPr>
      <w:r>
        <w:rPr>
          <w:rFonts w:hint="eastAsia"/>
        </w:rPr>
        <w:t>---订单管理系统。</w:t>
      </w:r>
    </w:p>
    <w:p>
      <w:pPr>
        <w:pStyle w:val="80"/>
        <w:spacing w:before="120" w:after="120"/>
        <w:rPr>
          <w:rFonts w:hint="eastAsia"/>
        </w:rPr>
      </w:pPr>
      <w:r>
        <w:rPr>
          <w:rFonts w:hint="eastAsia"/>
        </w:rPr>
        <w:t>自动化技术工具</w:t>
      </w:r>
    </w:p>
    <w:p>
      <w:pPr>
        <w:pStyle w:val="57"/>
        <w:ind w:firstLine="420"/>
        <w:rPr>
          <w:rFonts w:hint="eastAsia"/>
        </w:rPr>
      </w:pPr>
      <w:r>
        <w:rPr>
          <w:rFonts w:hint="eastAsia"/>
        </w:rPr>
        <w:t>该部分购置自动化技术工具加强数字供应链管理。</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---穿梭机器人；</w:t>
      </w:r>
    </w:p>
    <w:p>
      <w:pPr>
        <w:pStyle w:val="57"/>
        <w:ind w:firstLine="420"/>
        <w:rPr>
          <w:rFonts w:hint="eastAsia"/>
        </w:rPr>
      </w:pPr>
      <w:r>
        <w:rPr>
          <w:rFonts w:hint="eastAsia"/>
        </w:rPr>
        <w:t>---自动化立体仓储；</w:t>
      </w:r>
    </w:p>
    <w:p>
      <w:pPr>
        <w:pStyle w:val="57"/>
        <w:ind w:firstLine="420"/>
        <w:rPr>
          <w:rFonts w:hint="eastAsia"/>
        </w:rPr>
      </w:pPr>
      <w:r>
        <w:rPr>
          <w:rFonts w:hint="eastAsia"/>
        </w:rPr>
        <w:t>---无线射频识别；</w:t>
      </w:r>
    </w:p>
    <w:p>
      <w:pPr>
        <w:pStyle w:val="57"/>
        <w:ind w:firstLine="420"/>
        <w:rPr>
          <w:rFonts w:hint="eastAsia"/>
        </w:rPr>
      </w:pPr>
      <w:r>
        <w:rPr>
          <w:rFonts w:hint="eastAsia"/>
        </w:rPr>
        <w:t>---自动引导车；</w:t>
      </w:r>
    </w:p>
    <w:p>
      <w:pPr>
        <w:pStyle w:val="57"/>
        <w:ind w:firstLine="420"/>
        <w:rPr>
          <w:rFonts w:hint="eastAsia"/>
        </w:rPr>
      </w:pPr>
      <w:r>
        <w:rPr>
          <w:rFonts w:hint="eastAsia"/>
        </w:rPr>
        <w:t>---条码识别技术。</w:t>
      </w:r>
    </w:p>
    <w:p>
      <w:pPr>
        <w:pStyle w:val="79"/>
        <w:spacing w:before="120" w:after="120"/>
        <w:rPr>
          <w:rFonts w:hint="eastAsia"/>
        </w:rPr>
      </w:pPr>
      <w:bookmarkStart w:id="94" w:name="_Toc190187280"/>
      <w:r>
        <w:rPr>
          <w:rFonts w:hint="eastAsia"/>
        </w:rPr>
        <w:t>数字化供应链人员管理咨询工具和方法</w:t>
      </w:r>
      <w:bookmarkEnd w:id="94"/>
    </w:p>
    <w:p>
      <w:pPr>
        <w:pStyle w:val="80"/>
        <w:spacing w:before="120" w:after="120"/>
        <w:rPr>
          <w:rFonts w:hint="eastAsia"/>
        </w:rPr>
      </w:pPr>
      <w:r>
        <w:rPr>
          <w:rFonts w:hint="eastAsia"/>
        </w:rPr>
        <w:t>招聘配置</w:t>
      </w:r>
    </w:p>
    <w:p>
      <w:pPr>
        <w:pStyle w:val="57"/>
        <w:ind w:firstLine="420"/>
        <w:rPr>
          <w:rFonts w:hint="eastAsia"/>
        </w:rPr>
      </w:pPr>
      <w:r>
        <w:rPr>
          <w:rFonts w:hint="eastAsia"/>
        </w:rPr>
        <w:t>该部分利用先进的招聘配置工具优化数字供应链的人才引进和配置流程。</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---人才测评工具；</w:t>
      </w:r>
    </w:p>
    <w:p>
      <w:pPr>
        <w:pStyle w:val="57"/>
        <w:ind w:firstLine="420"/>
        <w:rPr>
          <w:rFonts w:hint="eastAsia"/>
        </w:rPr>
      </w:pPr>
      <w:r>
        <w:rPr>
          <w:rFonts w:hint="eastAsia"/>
        </w:rPr>
        <w:t>---智能招聘系统；</w:t>
      </w:r>
    </w:p>
    <w:p>
      <w:pPr>
        <w:pStyle w:val="57"/>
        <w:ind w:firstLine="420"/>
        <w:rPr>
          <w:rFonts w:hint="eastAsia"/>
        </w:rPr>
      </w:pPr>
      <w:r>
        <w:rPr>
          <w:rFonts w:hint="eastAsia"/>
        </w:rPr>
        <w:t>---数字化人才能力指标体系。</w:t>
      </w:r>
    </w:p>
    <w:p>
      <w:pPr>
        <w:pStyle w:val="80"/>
        <w:spacing w:before="120" w:after="120"/>
        <w:rPr>
          <w:rFonts w:hint="eastAsia"/>
        </w:rPr>
      </w:pPr>
      <w:r>
        <w:rPr>
          <w:rFonts w:hint="eastAsia"/>
        </w:rPr>
        <w:t>培训开发</w:t>
      </w:r>
    </w:p>
    <w:p>
      <w:pPr>
        <w:pStyle w:val="57"/>
        <w:ind w:firstLine="420"/>
        <w:rPr>
          <w:rFonts w:hint="eastAsia"/>
        </w:rPr>
      </w:pPr>
      <w:r>
        <w:rPr>
          <w:rFonts w:hint="eastAsia"/>
        </w:rPr>
        <w:t>该部分致力于通过高效的培训开发工具提升数字化供应链人员的专业技能和综合素质。</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---数字化人才培训计划；</w:t>
      </w:r>
    </w:p>
    <w:p>
      <w:pPr>
        <w:pStyle w:val="57"/>
        <w:ind w:firstLine="420"/>
        <w:rPr>
          <w:rFonts w:hint="eastAsia"/>
        </w:rPr>
      </w:pPr>
      <w:r>
        <w:rPr>
          <w:rFonts w:hint="eastAsia"/>
        </w:rPr>
        <w:t>---在线学习平台；</w:t>
      </w:r>
    </w:p>
    <w:p>
      <w:pPr>
        <w:pStyle w:val="80"/>
        <w:spacing w:before="120" w:after="120"/>
        <w:rPr>
          <w:rFonts w:hint="eastAsia"/>
        </w:rPr>
      </w:pPr>
      <w:r>
        <w:rPr>
          <w:rFonts w:hint="eastAsia"/>
        </w:rPr>
        <w:t>薪酬福利</w:t>
      </w:r>
    </w:p>
    <w:p>
      <w:pPr>
        <w:pStyle w:val="57"/>
        <w:ind w:firstLine="420"/>
        <w:rPr>
          <w:rFonts w:hint="eastAsia"/>
        </w:rPr>
      </w:pPr>
      <w:r>
        <w:rPr>
          <w:rFonts w:hint="eastAsia"/>
        </w:rPr>
        <w:t>该部分利用科学的薪酬福利管理工具优化数字化供应链人员的薪酬结构和福利待遇。</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---薪酬管理软件；</w:t>
      </w:r>
    </w:p>
    <w:p>
      <w:pPr>
        <w:pStyle w:val="57"/>
        <w:ind w:firstLine="420"/>
        <w:rPr>
          <w:rFonts w:hint="eastAsia"/>
        </w:rPr>
      </w:pPr>
      <w:r>
        <w:rPr>
          <w:rFonts w:hint="eastAsia"/>
        </w:rPr>
        <w:t>---弹性福利计划。</w:t>
      </w:r>
    </w:p>
    <w:p>
      <w:pPr>
        <w:pStyle w:val="80"/>
        <w:spacing w:before="120" w:after="120"/>
        <w:rPr>
          <w:rFonts w:hint="eastAsia"/>
        </w:rPr>
      </w:pPr>
      <w:r>
        <w:rPr>
          <w:rFonts w:hint="eastAsia"/>
        </w:rPr>
        <w:t>绩效管理</w:t>
      </w:r>
    </w:p>
    <w:p>
      <w:pPr>
        <w:pStyle w:val="57"/>
        <w:ind w:firstLine="420"/>
        <w:rPr>
          <w:rFonts w:hint="eastAsia"/>
        </w:rPr>
      </w:pPr>
      <w:r>
        <w:rPr>
          <w:rFonts w:hint="eastAsia"/>
        </w:rPr>
        <w:t>该部分采用高效的绩效管理工具和方法，对数字化供应链人员的工作表现进行客观、全面的评价。</w:t>
      </w:r>
    </w:p>
    <w:p>
      <w:pPr>
        <w:pStyle w:val="57"/>
        <w:ind w:firstLine="420"/>
        <w:rPr>
          <w:rFonts w:hint="eastAsia"/>
        </w:rPr>
      </w:pPr>
      <w:r>
        <w:rPr>
          <w:rFonts w:hint="eastAsia"/>
        </w:rPr>
        <w:t>推荐工具和方法，包括但不限于：</w:t>
      </w:r>
    </w:p>
    <w:p>
      <w:pPr>
        <w:pStyle w:val="57"/>
        <w:ind w:firstLine="420"/>
        <w:rPr>
          <w:rFonts w:hint="eastAsia"/>
        </w:rPr>
      </w:pPr>
      <w:r>
        <w:rPr>
          <w:rFonts w:hint="eastAsia"/>
        </w:rPr>
        <w:t>---数字化人才绩效考核体系；</w:t>
      </w:r>
    </w:p>
    <w:p>
      <w:pPr>
        <w:pStyle w:val="57"/>
        <w:ind w:firstLine="420"/>
        <w:rPr>
          <w:rFonts w:hint="eastAsia"/>
        </w:rPr>
      </w:pPr>
      <w:r>
        <w:rPr>
          <w:rFonts w:hint="eastAsia"/>
        </w:rPr>
        <w:t>---实时反馈系统。</w:t>
      </w:r>
      <w:bookmarkEnd w:id="80"/>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黑体"/>
    <w:panose1 w:val="02010600030101010101"/>
    <w:charset w:val="86"/>
    <w:family w:val="auto"/>
    <w:pitch w:val="default"/>
    <w:sig w:usb0="00000000" w:usb1="00000000" w:usb2="00000016" w:usb3="00000000" w:csb0="0004000F" w:csb1="00000000"/>
  </w:font>
  <w:font w:name="DejaVu Math TeX Gyre">
    <w:panose1 w:val="02000503000000000000"/>
    <w:charset w:val="00"/>
    <w:family w:val="auto"/>
    <w:pitch w:val="default"/>
    <w:sig w:usb0="A10000EF" w:usb1="4201F9EE" w:usb2="02000000" w:usb3="00000000" w:csb0="60000193" w:csb1="0DD40000"/>
  </w:font>
  <w:font w:name="等线">
    <w:altName w:val="微软雅黑"/>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SB/T XXXXX—XXXX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SB/T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DF438F"/>
    <w:multiLevelType w:val="singleLevel"/>
    <w:tmpl w:val="DADF438F"/>
    <w:lvl w:ilvl="0" w:tentative="0">
      <w:start w:val="1"/>
      <w:numFmt w:val="lowerLetter"/>
      <w:suff w:val="space"/>
      <w:lvlText w:val="%1)"/>
      <w:lvlJc w:val="left"/>
    </w:lvl>
  </w:abstractNum>
  <w:abstractNum w:abstractNumId="1">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2">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8">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0">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28"/>
  </w:num>
  <w:num w:numId="3">
    <w:abstractNumId w:val="6"/>
  </w:num>
  <w:num w:numId="4">
    <w:abstractNumId w:val="24"/>
  </w:num>
  <w:num w:numId="5">
    <w:abstractNumId w:val="19"/>
  </w:num>
  <w:num w:numId="6">
    <w:abstractNumId w:val="14"/>
  </w:num>
  <w:num w:numId="7">
    <w:abstractNumId w:val="9"/>
  </w:num>
  <w:num w:numId="8">
    <w:abstractNumId w:val="4"/>
  </w:num>
  <w:num w:numId="9">
    <w:abstractNumId w:val="10"/>
  </w:num>
  <w:num w:numId="10">
    <w:abstractNumId w:val="17"/>
  </w:num>
  <w:num w:numId="11">
    <w:abstractNumId w:val="26"/>
  </w:num>
  <w:num w:numId="12">
    <w:abstractNumId w:val="12"/>
  </w:num>
  <w:num w:numId="13">
    <w:abstractNumId w:val="13"/>
  </w:num>
  <w:num w:numId="14">
    <w:abstractNumId w:val="8"/>
  </w:num>
  <w:num w:numId="15">
    <w:abstractNumId w:val="20"/>
  </w:num>
  <w:num w:numId="16">
    <w:abstractNumId w:val="22"/>
  </w:num>
  <w:num w:numId="17">
    <w:abstractNumId w:val="18"/>
  </w:num>
  <w:num w:numId="18">
    <w:abstractNumId w:val="30"/>
  </w:num>
  <w:num w:numId="19">
    <w:abstractNumId w:val="16"/>
  </w:num>
  <w:num w:numId="20">
    <w:abstractNumId w:val="2"/>
  </w:num>
  <w:num w:numId="21">
    <w:abstractNumId w:val="11"/>
  </w:num>
  <w:num w:numId="22">
    <w:abstractNumId w:val="31"/>
  </w:num>
  <w:num w:numId="23">
    <w:abstractNumId w:val="21"/>
  </w:num>
  <w:num w:numId="24">
    <w:abstractNumId w:val="7"/>
  </w:num>
  <w:num w:numId="25">
    <w:abstractNumId w:val="27"/>
  </w:num>
  <w:num w:numId="26">
    <w:abstractNumId w:val="29"/>
  </w:num>
  <w:num w:numId="27">
    <w:abstractNumId w:val="3"/>
  </w:num>
  <w:num w:numId="28">
    <w:abstractNumId w:val="5"/>
  </w:num>
  <w:num w:numId="29">
    <w:abstractNumId w:val="15"/>
  </w:num>
  <w:num w:numId="30">
    <w:abstractNumId w:val="25"/>
  </w:num>
  <w:num w:numId="31">
    <w:abstractNumId w:val="23"/>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69Ikhbaz0trjWTVIIakceacMbyT4g7XsE1Ec8cbd2TBAm2gAdpipYaNFNIaerce/XR+m/1ZHB3XGJ8jIMhKyHw==" w:salt="XBEaqJ5rXjj5Xj9aS0TpG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A58"/>
    <w:rsid w:val="0000040A"/>
    <w:rsid w:val="00000A94"/>
    <w:rsid w:val="00001972"/>
    <w:rsid w:val="00001D9A"/>
    <w:rsid w:val="00007B3A"/>
    <w:rsid w:val="000107E0"/>
    <w:rsid w:val="0001122D"/>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10E8"/>
    <w:rsid w:val="0004249A"/>
    <w:rsid w:val="00043282"/>
    <w:rsid w:val="00044286"/>
    <w:rsid w:val="00047F28"/>
    <w:rsid w:val="00047F8C"/>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7666"/>
    <w:rsid w:val="000D0A9C"/>
    <w:rsid w:val="000D1795"/>
    <w:rsid w:val="000D2F41"/>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57E7"/>
    <w:rsid w:val="00145D9D"/>
    <w:rsid w:val="00146388"/>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A1A53"/>
    <w:rsid w:val="001A234A"/>
    <w:rsid w:val="001B06E8"/>
    <w:rsid w:val="001B193E"/>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6C4"/>
    <w:rsid w:val="001F4816"/>
    <w:rsid w:val="001F69B4"/>
    <w:rsid w:val="001F77C7"/>
    <w:rsid w:val="00200183"/>
    <w:rsid w:val="0020107D"/>
    <w:rsid w:val="00202AA4"/>
    <w:rsid w:val="002031F7"/>
    <w:rsid w:val="002040E6"/>
    <w:rsid w:val="0020527B"/>
    <w:rsid w:val="002059A4"/>
    <w:rsid w:val="00205F2C"/>
    <w:rsid w:val="00210B15"/>
    <w:rsid w:val="002142EA"/>
    <w:rsid w:val="002204BB"/>
    <w:rsid w:val="00221B79"/>
    <w:rsid w:val="00221C6B"/>
    <w:rsid w:val="00224596"/>
    <w:rsid w:val="002253A1"/>
    <w:rsid w:val="00225CF8"/>
    <w:rsid w:val="0022718D"/>
    <w:rsid w:val="0022794E"/>
    <w:rsid w:val="00233D64"/>
    <w:rsid w:val="0023478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4BC"/>
    <w:rsid w:val="002643C3"/>
    <w:rsid w:val="00264A0C"/>
    <w:rsid w:val="00267EF4"/>
    <w:rsid w:val="00270CB8"/>
    <w:rsid w:val="00272B08"/>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E3"/>
    <w:rsid w:val="002B4508"/>
    <w:rsid w:val="002B5779"/>
    <w:rsid w:val="002B7332"/>
    <w:rsid w:val="002B7F51"/>
    <w:rsid w:val="002C09E7"/>
    <w:rsid w:val="002C3F07"/>
    <w:rsid w:val="002C5278"/>
    <w:rsid w:val="002C7EBB"/>
    <w:rsid w:val="002D06C1"/>
    <w:rsid w:val="002D42B5"/>
    <w:rsid w:val="002D4F1A"/>
    <w:rsid w:val="002D6DA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E62"/>
    <w:rsid w:val="00324EDD"/>
    <w:rsid w:val="003331E4"/>
    <w:rsid w:val="00336C64"/>
    <w:rsid w:val="00337162"/>
    <w:rsid w:val="0034194F"/>
    <w:rsid w:val="00342DB8"/>
    <w:rsid w:val="00344605"/>
    <w:rsid w:val="003474AA"/>
    <w:rsid w:val="00350D1D"/>
    <w:rsid w:val="00351901"/>
    <w:rsid w:val="00352C83"/>
    <w:rsid w:val="003615D2"/>
    <w:rsid w:val="0036429C"/>
    <w:rsid w:val="00364A53"/>
    <w:rsid w:val="003654CB"/>
    <w:rsid w:val="00365F86"/>
    <w:rsid w:val="00365F87"/>
    <w:rsid w:val="003705F4"/>
    <w:rsid w:val="00370D58"/>
    <w:rsid w:val="00371316"/>
    <w:rsid w:val="00376713"/>
    <w:rsid w:val="00380F3F"/>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A4361"/>
    <w:rsid w:val="003B09AD"/>
    <w:rsid w:val="003B0BD9"/>
    <w:rsid w:val="003B1F18"/>
    <w:rsid w:val="003B5BF0"/>
    <w:rsid w:val="003B60BF"/>
    <w:rsid w:val="003B6BE3"/>
    <w:rsid w:val="003C010C"/>
    <w:rsid w:val="003C0A6C"/>
    <w:rsid w:val="003C2859"/>
    <w:rsid w:val="003C5A43"/>
    <w:rsid w:val="003D0519"/>
    <w:rsid w:val="003D0FF6"/>
    <w:rsid w:val="003D262C"/>
    <w:rsid w:val="003D6D61"/>
    <w:rsid w:val="003E091D"/>
    <w:rsid w:val="003E1C53"/>
    <w:rsid w:val="003E2A69"/>
    <w:rsid w:val="003E2D49"/>
    <w:rsid w:val="003E2FD4"/>
    <w:rsid w:val="003E49F6"/>
    <w:rsid w:val="003F0841"/>
    <w:rsid w:val="003F23D3"/>
    <w:rsid w:val="003F3F08"/>
    <w:rsid w:val="003F49F1"/>
    <w:rsid w:val="003F6272"/>
    <w:rsid w:val="003F72A3"/>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563CD"/>
    <w:rsid w:val="00463B77"/>
    <w:rsid w:val="00463C7B"/>
    <w:rsid w:val="00463F02"/>
    <w:rsid w:val="004644A6"/>
    <w:rsid w:val="004659BD"/>
    <w:rsid w:val="00470775"/>
    <w:rsid w:val="004715BD"/>
    <w:rsid w:val="004746B1"/>
    <w:rsid w:val="0047583F"/>
    <w:rsid w:val="00484936"/>
    <w:rsid w:val="00485C89"/>
    <w:rsid w:val="00486BE3"/>
    <w:rsid w:val="004905E4"/>
    <w:rsid w:val="00490A89"/>
    <w:rsid w:val="00490AB4"/>
    <w:rsid w:val="004920D8"/>
    <w:rsid w:val="00492F02"/>
    <w:rsid w:val="004939AE"/>
    <w:rsid w:val="004A12DF"/>
    <w:rsid w:val="004A1BA8"/>
    <w:rsid w:val="004A4B57"/>
    <w:rsid w:val="004A63FA"/>
    <w:rsid w:val="004B0272"/>
    <w:rsid w:val="004B2701"/>
    <w:rsid w:val="004B2E1B"/>
    <w:rsid w:val="004B3E93"/>
    <w:rsid w:val="004C1FBC"/>
    <w:rsid w:val="004C3F1D"/>
    <w:rsid w:val="004C458D"/>
    <w:rsid w:val="004C7556"/>
    <w:rsid w:val="004C7E9D"/>
    <w:rsid w:val="004C7F67"/>
    <w:rsid w:val="004D076D"/>
    <w:rsid w:val="004D0EF1"/>
    <w:rsid w:val="004D189E"/>
    <w:rsid w:val="004D2253"/>
    <w:rsid w:val="004D4406"/>
    <w:rsid w:val="004D7C42"/>
    <w:rsid w:val="004E0465"/>
    <w:rsid w:val="004E127B"/>
    <w:rsid w:val="004E1C0A"/>
    <w:rsid w:val="004E3014"/>
    <w:rsid w:val="004E30C5"/>
    <w:rsid w:val="004E4AA5"/>
    <w:rsid w:val="004E4AEE"/>
    <w:rsid w:val="004E59E3"/>
    <w:rsid w:val="004E67C0"/>
    <w:rsid w:val="004F391A"/>
    <w:rsid w:val="004F3CFB"/>
    <w:rsid w:val="004F6456"/>
    <w:rsid w:val="004F696E"/>
    <w:rsid w:val="004F6C71"/>
    <w:rsid w:val="00501139"/>
    <w:rsid w:val="00502991"/>
    <w:rsid w:val="0050363E"/>
    <w:rsid w:val="005039BC"/>
    <w:rsid w:val="005043BB"/>
    <w:rsid w:val="00504A3D"/>
    <w:rsid w:val="00505767"/>
    <w:rsid w:val="005073F0"/>
    <w:rsid w:val="00510A7B"/>
    <w:rsid w:val="00512F6E"/>
    <w:rsid w:val="00513038"/>
    <w:rsid w:val="00514174"/>
    <w:rsid w:val="00516088"/>
    <w:rsid w:val="00516B0B"/>
    <w:rsid w:val="005207F4"/>
    <w:rsid w:val="005220EC"/>
    <w:rsid w:val="00523F95"/>
    <w:rsid w:val="00524D65"/>
    <w:rsid w:val="00525B16"/>
    <w:rsid w:val="00533D04"/>
    <w:rsid w:val="00534804"/>
    <w:rsid w:val="00534BDF"/>
    <w:rsid w:val="005354EA"/>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3544"/>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63"/>
    <w:rsid w:val="005D288C"/>
    <w:rsid w:val="005D4171"/>
    <w:rsid w:val="005D6A95"/>
    <w:rsid w:val="005D6B2C"/>
    <w:rsid w:val="005D6D9C"/>
    <w:rsid w:val="005E2335"/>
    <w:rsid w:val="005E34CA"/>
    <w:rsid w:val="005E3C18"/>
    <w:rsid w:val="005E6318"/>
    <w:rsid w:val="005E6812"/>
    <w:rsid w:val="005E7829"/>
    <w:rsid w:val="005E7881"/>
    <w:rsid w:val="005E78E0"/>
    <w:rsid w:val="005F0D9C"/>
    <w:rsid w:val="005F284E"/>
    <w:rsid w:val="006015CE"/>
    <w:rsid w:val="00604784"/>
    <w:rsid w:val="00606419"/>
    <w:rsid w:val="00607D29"/>
    <w:rsid w:val="00612952"/>
    <w:rsid w:val="00614CC1"/>
    <w:rsid w:val="00615A9D"/>
    <w:rsid w:val="00617387"/>
    <w:rsid w:val="006252D8"/>
    <w:rsid w:val="006259BC"/>
    <w:rsid w:val="0062636B"/>
    <w:rsid w:val="00632182"/>
    <w:rsid w:val="00632AE0"/>
    <w:rsid w:val="00633C17"/>
    <w:rsid w:val="00636E3E"/>
    <w:rsid w:val="006379F7"/>
    <w:rsid w:val="00637E4D"/>
    <w:rsid w:val="00640620"/>
    <w:rsid w:val="00641A1F"/>
    <w:rsid w:val="0064528D"/>
    <w:rsid w:val="00645904"/>
    <w:rsid w:val="00650A58"/>
    <w:rsid w:val="00651ACB"/>
    <w:rsid w:val="00651C47"/>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B7562"/>
    <w:rsid w:val="006C1BBA"/>
    <w:rsid w:val="006C2079"/>
    <w:rsid w:val="006C317D"/>
    <w:rsid w:val="006C5A62"/>
    <w:rsid w:val="006C5D68"/>
    <w:rsid w:val="006C6976"/>
    <w:rsid w:val="006C6DD0"/>
    <w:rsid w:val="006D04EA"/>
    <w:rsid w:val="006D16C4"/>
    <w:rsid w:val="006D3E96"/>
    <w:rsid w:val="006D4515"/>
    <w:rsid w:val="006D4BB1"/>
    <w:rsid w:val="006D6593"/>
    <w:rsid w:val="006D686E"/>
    <w:rsid w:val="006F03A8"/>
    <w:rsid w:val="006F126C"/>
    <w:rsid w:val="006F2ACA"/>
    <w:rsid w:val="006F2ADC"/>
    <w:rsid w:val="006F2BFE"/>
    <w:rsid w:val="006F31E9"/>
    <w:rsid w:val="006F56E5"/>
    <w:rsid w:val="006F6284"/>
    <w:rsid w:val="007002C5"/>
    <w:rsid w:val="0070348B"/>
    <w:rsid w:val="00703557"/>
    <w:rsid w:val="00704387"/>
    <w:rsid w:val="00707669"/>
    <w:rsid w:val="00711CBA"/>
    <w:rsid w:val="00711FB5"/>
    <w:rsid w:val="00712A01"/>
    <w:rsid w:val="00713185"/>
    <w:rsid w:val="00714F58"/>
    <w:rsid w:val="00722FBF"/>
    <w:rsid w:val="00722FC2"/>
    <w:rsid w:val="00725949"/>
    <w:rsid w:val="00727FA2"/>
    <w:rsid w:val="007322D9"/>
    <w:rsid w:val="00732BC0"/>
    <w:rsid w:val="00732F4E"/>
    <w:rsid w:val="0073720F"/>
    <w:rsid w:val="00737796"/>
    <w:rsid w:val="0074165C"/>
    <w:rsid w:val="00742C35"/>
    <w:rsid w:val="007432CA"/>
    <w:rsid w:val="007439EB"/>
    <w:rsid w:val="00743CB4"/>
    <w:rsid w:val="00743F0A"/>
    <w:rsid w:val="007444E8"/>
    <w:rsid w:val="0074548E"/>
    <w:rsid w:val="00745773"/>
    <w:rsid w:val="00746800"/>
    <w:rsid w:val="00747CF0"/>
    <w:rsid w:val="007501A8"/>
    <w:rsid w:val="00750EE1"/>
    <w:rsid w:val="00752B4D"/>
    <w:rsid w:val="00755402"/>
    <w:rsid w:val="00756B26"/>
    <w:rsid w:val="00756EDF"/>
    <w:rsid w:val="00765C43"/>
    <w:rsid w:val="00765EFB"/>
    <w:rsid w:val="007671CA"/>
    <w:rsid w:val="0076744F"/>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2CD6"/>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E0D02"/>
    <w:rsid w:val="007E258B"/>
    <w:rsid w:val="007F0ED8"/>
    <w:rsid w:val="007F0F63"/>
    <w:rsid w:val="007F3748"/>
    <w:rsid w:val="007F75CE"/>
    <w:rsid w:val="008013A4"/>
    <w:rsid w:val="008027CE"/>
    <w:rsid w:val="00802F42"/>
    <w:rsid w:val="00804383"/>
    <w:rsid w:val="00804BB7"/>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2445"/>
    <w:rsid w:val="00842A47"/>
    <w:rsid w:val="00843C13"/>
    <w:rsid w:val="008454F8"/>
    <w:rsid w:val="0085173A"/>
    <w:rsid w:val="00854343"/>
    <w:rsid w:val="00860297"/>
    <w:rsid w:val="008603CE"/>
    <w:rsid w:val="008620FC"/>
    <w:rsid w:val="008627A5"/>
    <w:rsid w:val="00863E05"/>
    <w:rsid w:val="0086431E"/>
    <w:rsid w:val="00865ACA"/>
    <w:rsid w:val="00865D28"/>
    <w:rsid w:val="00865F85"/>
    <w:rsid w:val="00867C10"/>
    <w:rsid w:val="00870439"/>
    <w:rsid w:val="00870DA1"/>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4767"/>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58DC"/>
    <w:rsid w:val="008F70BD"/>
    <w:rsid w:val="008F788F"/>
    <w:rsid w:val="008F7EA2"/>
    <w:rsid w:val="00902722"/>
    <w:rsid w:val="009027BC"/>
    <w:rsid w:val="009062E6"/>
    <w:rsid w:val="00911AF6"/>
    <w:rsid w:val="00911BE5"/>
    <w:rsid w:val="00913CA9"/>
    <w:rsid w:val="009145AE"/>
    <w:rsid w:val="009146CE"/>
    <w:rsid w:val="00914CA7"/>
    <w:rsid w:val="00915C3E"/>
    <w:rsid w:val="009161A8"/>
    <w:rsid w:val="009245F5"/>
    <w:rsid w:val="009249EC"/>
    <w:rsid w:val="009273B3"/>
    <w:rsid w:val="009305B5"/>
    <w:rsid w:val="00941FA3"/>
    <w:rsid w:val="009429D5"/>
    <w:rsid w:val="00942BF1"/>
    <w:rsid w:val="00945180"/>
    <w:rsid w:val="00945428"/>
    <w:rsid w:val="0094607B"/>
    <w:rsid w:val="00953604"/>
    <w:rsid w:val="0095496B"/>
    <w:rsid w:val="009610DC"/>
    <w:rsid w:val="00961490"/>
    <w:rsid w:val="00962E98"/>
    <w:rsid w:val="0096381A"/>
    <w:rsid w:val="00965E04"/>
    <w:rsid w:val="009674AD"/>
    <w:rsid w:val="00970CDC"/>
    <w:rsid w:val="00977010"/>
    <w:rsid w:val="00977D02"/>
    <w:rsid w:val="009809BB"/>
    <w:rsid w:val="0098364B"/>
    <w:rsid w:val="009911AF"/>
    <w:rsid w:val="00991875"/>
    <w:rsid w:val="00991F92"/>
    <w:rsid w:val="00992985"/>
    <w:rsid w:val="00993889"/>
    <w:rsid w:val="00994782"/>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464"/>
    <w:rsid w:val="009B6971"/>
    <w:rsid w:val="009C27F1"/>
    <w:rsid w:val="009C299E"/>
    <w:rsid w:val="009C3152"/>
    <w:rsid w:val="009C4CFA"/>
    <w:rsid w:val="009C5070"/>
    <w:rsid w:val="009D112C"/>
    <w:rsid w:val="009D47FA"/>
    <w:rsid w:val="009D50D2"/>
    <w:rsid w:val="009D6BCA"/>
    <w:rsid w:val="009D72B9"/>
    <w:rsid w:val="009E0F62"/>
    <w:rsid w:val="009E1848"/>
    <w:rsid w:val="009E4A58"/>
    <w:rsid w:val="009E5A2D"/>
    <w:rsid w:val="009E5AB2"/>
    <w:rsid w:val="009E6219"/>
    <w:rsid w:val="009F03B3"/>
    <w:rsid w:val="00A01757"/>
    <w:rsid w:val="00A028C0"/>
    <w:rsid w:val="00A02BAE"/>
    <w:rsid w:val="00A05AA6"/>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4006C"/>
    <w:rsid w:val="00A40091"/>
    <w:rsid w:val="00A4030F"/>
    <w:rsid w:val="00A41C79"/>
    <w:rsid w:val="00A41CB5"/>
    <w:rsid w:val="00A42CDF"/>
    <w:rsid w:val="00A4307B"/>
    <w:rsid w:val="00A4452E"/>
    <w:rsid w:val="00A4472C"/>
    <w:rsid w:val="00A44E69"/>
    <w:rsid w:val="00A4661E"/>
    <w:rsid w:val="00A55BD6"/>
    <w:rsid w:val="00A55D50"/>
    <w:rsid w:val="00A57142"/>
    <w:rsid w:val="00A61D48"/>
    <w:rsid w:val="00A648CD"/>
    <w:rsid w:val="00A6537A"/>
    <w:rsid w:val="00A67866"/>
    <w:rsid w:val="00A70B07"/>
    <w:rsid w:val="00A723F8"/>
    <w:rsid w:val="00A77CCB"/>
    <w:rsid w:val="00A83D8D"/>
    <w:rsid w:val="00A83E19"/>
    <w:rsid w:val="00A8446B"/>
    <w:rsid w:val="00A8473F"/>
    <w:rsid w:val="00A862D6"/>
    <w:rsid w:val="00A8715E"/>
    <w:rsid w:val="00A87647"/>
    <w:rsid w:val="00A9295B"/>
    <w:rsid w:val="00A93B09"/>
    <w:rsid w:val="00A952D7"/>
    <w:rsid w:val="00A963F7"/>
    <w:rsid w:val="00A96AD8"/>
    <w:rsid w:val="00AA052C"/>
    <w:rsid w:val="00AA1E45"/>
    <w:rsid w:val="00AA30E6"/>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D89"/>
    <w:rsid w:val="00AE070A"/>
    <w:rsid w:val="00AE101C"/>
    <w:rsid w:val="00AE232F"/>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432"/>
    <w:rsid w:val="00B447A5"/>
    <w:rsid w:val="00B4654C"/>
    <w:rsid w:val="00B47293"/>
    <w:rsid w:val="00B50E50"/>
    <w:rsid w:val="00B52120"/>
    <w:rsid w:val="00B54ABC"/>
    <w:rsid w:val="00B56FBE"/>
    <w:rsid w:val="00B62B58"/>
    <w:rsid w:val="00B65149"/>
    <w:rsid w:val="00B66567"/>
    <w:rsid w:val="00B66F52"/>
    <w:rsid w:val="00B66FE5"/>
    <w:rsid w:val="00B72880"/>
    <w:rsid w:val="00B758BF"/>
    <w:rsid w:val="00B827A6"/>
    <w:rsid w:val="00B831CE"/>
    <w:rsid w:val="00B86677"/>
    <w:rsid w:val="00B87131"/>
    <w:rsid w:val="00B939B1"/>
    <w:rsid w:val="00B96D40"/>
    <w:rsid w:val="00B97386"/>
    <w:rsid w:val="00B978DB"/>
    <w:rsid w:val="00BA263B"/>
    <w:rsid w:val="00BA42B2"/>
    <w:rsid w:val="00BA58D4"/>
    <w:rsid w:val="00BA5B9E"/>
    <w:rsid w:val="00BA7C9A"/>
    <w:rsid w:val="00BB5F8F"/>
    <w:rsid w:val="00BB657A"/>
    <w:rsid w:val="00BC1A4E"/>
    <w:rsid w:val="00BC5DC7"/>
    <w:rsid w:val="00BC6B41"/>
    <w:rsid w:val="00BC6B8B"/>
    <w:rsid w:val="00BC73D8"/>
    <w:rsid w:val="00BD52D7"/>
    <w:rsid w:val="00BD5AD2"/>
    <w:rsid w:val="00BE22F3"/>
    <w:rsid w:val="00BE5B52"/>
    <w:rsid w:val="00BE62A6"/>
    <w:rsid w:val="00BE7B8D"/>
    <w:rsid w:val="00BF0993"/>
    <w:rsid w:val="00BF10A9"/>
    <w:rsid w:val="00BF1703"/>
    <w:rsid w:val="00BF231C"/>
    <w:rsid w:val="00BF51E5"/>
    <w:rsid w:val="00BF74A6"/>
    <w:rsid w:val="00BF7718"/>
    <w:rsid w:val="00C013AD"/>
    <w:rsid w:val="00C020FB"/>
    <w:rsid w:val="00C04904"/>
    <w:rsid w:val="00C056B3"/>
    <w:rsid w:val="00C103E5"/>
    <w:rsid w:val="00C1168A"/>
    <w:rsid w:val="00C13319"/>
    <w:rsid w:val="00C13EE9"/>
    <w:rsid w:val="00C21540"/>
    <w:rsid w:val="00C21906"/>
    <w:rsid w:val="00C21BFA"/>
    <w:rsid w:val="00C24C8D"/>
    <w:rsid w:val="00C25FE2"/>
    <w:rsid w:val="00C260F4"/>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66825"/>
    <w:rsid w:val="00C71372"/>
    <w:rsid w:val="00C72410"/>
    <w:rsid w:val="00C7287F"/>
    <w:rsid w:val="00C7666C"/>
    <w:rsid w:val="00C80CB8"/>
    <w:rsid w:val="00C819F8"/>
    <w:rsid w:val="00C8248C"/>
    <w:rsid w:val="00C84E33"/>
    <w:rsid w:val="00C86D6F"/>
    <w:rsid w:val="00C905FC"/>
    <w:rsid w:val="00C92D03"/>
    <w:rsid w:val="00C9319C"/>
    <w:rsid w:val="00C9435D"/>
    <w:rsid w:val="00C96741"/>
    <w:rsid w:val="00CA2D1B"/>
    <w:rsid w:val="00CA662A"/>
    <w:rsid w:val="00CA7AFD"/>
    <w:rsid w:val="00CA7C3C"/>
    <w:rsid w:val="00CB0189"/>
    <w:rsid w:val="00CB0BA2"/>
    <w:rsid w:val="00CB1A42"/>
    <w:rsid w:val="00CB1B0C"/>
    <w:rsid w:val="00CB2C0B"/>
    <w:rsid w:val="00CB517D"/>
    <w:rsid w:val="00CC038D"/>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EEF"/>
    <w:rsid w:val="00CE0C4F"/>
    <w:rsid w:val="00CE30EA"/>
    <w:rsid w:val="00CF048A"/>
    <w:rsid w:val="00CF08F1"/>
    <w:rsid w:val="00CF155A"/>
    <w:rsid w:val="00CF2947"/>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4CB7"/>
    <w:rsid w:val="00D352A2"/>
    <w:rsid w:val="00D4162B"/>
    <w:rsid w:val="00D4514F"/>
    <w:rsid w:val="00D451E2"/>
    <w:rsid w:val="00D45E89"/>
    <w:rsid w:val="00D45E8D"/>
    <w:rsid w:val="00D466AE"/>
    <w:rsid w:val="00D4734F"/>
    <w:rsid w:val="00D51BF3"/>
    <w:rsid w:val="00D54B98"/>
    <w:rsid w:val="00D56D85"/>
    <w:rsid w:val="00D66846"/>
    <w:rsid w:val="00D675FB"/>
    <w:rsid w:val="00D71F25"/>
    <w:rsid w:val="00D77031"/>
    <w:rsid w:val="00D81136"/>
    <w:rsid w:val="00D826E7"/>
    <w:rsid w:val="00D84941"/>
    <w:rsid w:val="00D84FA1"/>
    <w:rsid w:val="00D851F0"/>
    <w:rsid w:val="00D86DB7"/>
    <w:rsid w:val="00D9060C"/>
    <w:rsid w:val="00D926D0"/>
    <w:rsid w:val="00D93030"/>
    <w:rsid w:val="00D950E1"/>
    <w:rsid w:val="00D952A6"/>
    <w:rsid w:val="00D97F99"/>
    <w:rsid w:val="00DA1E08"/>
    <w:rsid w:val="00DA24F8"/>
    <w:rsid w:val="00DA28E8"/>
    <w:rsid w:val="00DA38D3"/>
    <w:rsid w:val="00DA3932"/>
    <w:rsid w:val="00DA3AFC"/>
    <w:rsid w:val="00DA64F8"/>
    <w:rsid w:val="00DA6C15"/>
    <w:rsid w:val="00DB38EE"/>
    <w:rsid w:val="00DB498B"/>
    <w:rsid w:val="00DB66CA"/>
    <w:rsid w:val="00DB6BCA"/>
    <w:rsid w:val="00DB7113"/>
    <w:rsid w:val="00DC0321"/>
    <w:rsid w:val="00DC3067"/>
    <w:rsid w:val="00DC370B"/>
    <w:rsid w:val="00DC5B90"/>
    <w:rsid w:val="00DD00FF"/>
    <w:rsid w:val="00DD0619"/>
    <w:rsid w:val="00DD07FB"/>
    <w:rsid w:val="00DD0A7D"/>
    <w:rsid w:val="00DD25C6"/>
    <w:rsid w:val="00DD4FE5"/>
    <w:rsid w:val="00DD54B0"/>
    <w:rsid w:val="00DD57EE"/>
    <w:rsid w:val="00DD6BCC"/>
    <w:rsid w:val="00DE0A4B"/>
    <w:rsid w:val="00DE1491"/>
    <w:rsid w:val="00DE2410"/>
    <w:rsid w:val="00DE2939"/>
    <w:rsid w:val="00DE6E81"/>
    <w:rsid w:val="00DE703F"/>
    <w:rsid w:val="00DE7595"/>
    <w:rsid w:val="00DF1961"/>
    <w:rsid w:val="00DF44DE"/>
    <w:rsid w:val="00DF4A10"/>
    <w:rsid w:val="00E01138"/>
    <w:rsid w:val="00E02DFB"/>
    <w:rsid w:val="00E030F9"/>
    <w:rsid w:val="00E0311A"/>
    <w:rsid w:val="00E03138"/>
    <w:rsid w:val="00E06404"/>
    <w:rsid w:val="00E11A85"/>
    <w:rsid w:val="00E12495"/>
    <w:rsid w:val="00E15CCD"/>
    <w:rsid w:val="00E15D9E"/>
    <w:rsid w:val="00E202EF"/>
    <w:rsid w:val="00E210B5"/>
    <w:rsid w:val="00E2552F"/>
    <w:rsid w:val="00E3137A"/>
    <w:rsid w:val="00E32213"/>
    <w:rsid w:val="00E32CCF"/>
    <w:rsid w:val="00E33542"/>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2FF9"/>
    <w:rsid w:val="00E635D6"/>
    <w:rsid w:val="00E639BC"/>
    <w:rsid w:val="00E664CC"/>
    <w:rsid w:val="00E70388"/>
    <w:rsid w:val="00E70B15"/>
    <w:rsid w:val="00E70F92"/>
    <w:rsid w:val="00E74C54"/>
    <w:rsid w:val="00E77A03"/>
    <w:rsid w:val="00E77DEC"/>
    <w:rsid w:val="00E822E8"/>
    <w:rsid w:val="00E82554"/>
    <w:rsid w:val="00E82606"/>
    <w:rsid w:val="00E846C8"/>
    <w:rsid w:val="00E84957"/>
    <w:rsid w:val="00E84A55"/>
    <w:rsid w:val="00E85BFF"/>
    <w:rsid w:val="00E90391"/>
    <w:rsid w:val="00E906C2"/>
    <w:rsid w:val="00E9070B"/>
    <w:rsid w:val="00E9311F"/>
    <w:rsid w:val="00E934D1"/>
    <w:rsid w:val="00E94AF0"/>
    <w:rsid w:val="00E95D13"/>
    <w:rsid w:val="00E95DD3"/>
    <w:rsid w:val="00E969D5"/>
    <w:rsid w:val="00EA58D1"/>
    <w:rsid w:val="00EA61BC"/>
    <w:rsid w:val="00EA681A"/>
    <w:rsid w:val="00EA735B"/>
    <w:rsid w:val="00EB0944"/>
    <w:rsid w:val="00EB1E69"/>
    <w:rsid w:val="00EB2086"/>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1542"/>
    <w:rsid w:val="00F06D37"/>
    <w:rsid w:val="00F07B9D"/>
    <w:rsid w:val="00F10926"/>
    <w:rsid w:val="00F11586"/>
    <w:rsid w:val="00F1183B"/>
    <w:rsid w:val="00F11C9F"/>
    <w:rsid w:val="00F12263"/>
    <w:rsid w:val="00F1409D"/>
    <w:rsid w:val="00F14214"/>
    <w:rsid w:val="00F157A9"/>
    <w:rsid w:val="00F25BB6"/>
    <w:rsid w:val="00F26B7E"/>
    <w:rsid w:val="00F27A3B"/>
    <w:rsid w:val="00F33817"/>
    <w:rsid w:val="00F3447F"/>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77D98"/>
    <w:rsid w:val="00F833BA"/>
    <w:rsid w:val="00F84FD0"/>
    <w:rsid w:val="00F859A8"/>
    <w:rsid w:val="00F9108B"/>
    <w:rsid w:val="00F91349"/>
    <w:rsid w:val="00F93A8A"/>
    <w:rsid w:val="00F95248"/>
    <w:rsid w:val="00F956A9"/>
    <w:rsid w:val="00F963ED"/>
    <w:rsid w:val="00F966CF"/>
    <w:rsid w:val="00F96CAE"/>
    <w:rsid w:val="00F97C99"/>
    <w:rsid w:val="00FA662D"/>
    <w:rsid w:val="00FA6730"/>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F66D02"/>
    <w:rsid w:val="09EA0C21"/>
    <w:rsid w:val="14AF3F92"/>
    <w:rsid w:val="210B088A"/>
    <w:rsid w:val="2319229C"/>
    <w:rsid w:val="253A7EEC"/>
    <w:rsid w:val="28C6425C"/>
    <w:rsid w:val="29C22481"/>
    <w:rsid w:val="3D673297"/>
    <w:rsid w:val="3E375B70"/>
    <w:rsid w:val="40D06215"/>
    <w:rsid w:val="46564185"/>
    <w:rsid w:val="489831EA"/>
    <w:rsid w:val="4B742E85"/>
    <w:rsid w:val="4F106C3C"/>
    <w:rsid w:val="4F877B66"/>
    <w:rsid w:val="5007775B"/>
    <w:rsid w:val="52BA4871"/>
    <w:rsid w:val="551227EC"/>
    <w:rsid w:val="57A37F9B"/>
    <w:rsid w:val="5812213D"/>
    <w:rsid w:val="58B2278F"/>
    <w:rsid w:val="59020773"/>
    <w:rsid w:val="5AF41F5A"/>
    <w:rsid w:val="5C0C5167"/>
    <w:rsid w:val="5F1E1EFB"/>
    <w:rsid w:val="63B00D3D"/>
    <w:rsid w:val="64DC1238"/>
    <w:rsid w:val="68701871"/>
    <w:rsid w:val="6E800D70"/>
    <w:rsid w:val="6FEA2CC7"/>
    <w:rsid w:val="70A82E2C"/>
    <w:rsid w:val="760E0FA3"/>
    <w:rsid w:val="76582530"/>
    <w:rsid w:val="76A962F2"/>
    <w:rsid w:val="77117A31"/>
    <w:rsid w:val="78D8190C"/>
    <w:rsid w:val="7A283D74"/>
    <w:rsid w:val="7CAA65ED"/>
    <w:rsid w:val="F9F7E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3">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7"/>
    <w:qFormat/>
    <w:uiPriority w:val="0"/>
    <w:pPr>
      <w:keepNext/>
      <w:keepLines/>
      <w:spacing w:before="260" w:after="260" w:line="416" w:lineRule="auto"/>
      <w:outlineLvl w:val="2"/>
    </w:pPr>
    <w:rPr>
      <w:b/>
      <w:bCs/>
      <w:sz w:val="32"/>
      <w:szCs w:val="32"/>
    </w:rPr>
  </w:style>
  <w:style w:type="paragraph" w:styleId="6">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8">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9">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10">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1">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pPr>
      <w:wordWrap w:val="0"/>
      <w:autoSpaceDE w:val="0"/>
      <w:autoSpaceDN w:val="0"/>
      <w:adjustRightInd/>
      <w:spacing w:before="120" w:after="100" w:afterAutospacing="1" w:line="240" w:lineRule="auto"/>
    </w:pPr>
    <w:rPr>
      <w:rFonts w:ascii="Arial" w:hAnsi="Arial"/>
      <w:sz w:val="24"/>
      <w:szCs w:val="24"/>
    </w:rPr>
  </w:style>
  <w:style w:type="paragraph" w:styleId="12">
    <w:name w:val="toc 7"/>
    <w:basedOn w:val="1"/>
    <w:next w:val="1"/>
    <w:unhideWhenUsed/>
    <w:qFormat/>
    <w:uiPriority w:val="39"/>
    <w:pPr>
      <w:tabs>
        <w:tab w:val="right" w:leader="dot" w:pos="9344"/>
      </w:tabs>
      <w:spacing w:line="300" w:lineRule="exact"/>
      <w:ind w:left="1259"/>
    </w:pPr>
    <w:rPr>
      <w:rFonts w:ascii="宋体"/>
    </w:rPr>
  </w:style>
  <w:style w:type="paragraph" w:styleId="13">
    <w:name w:val="Normal Indent"/>
    <w:basedOn w:val="1"/>
    <w:qFormat/>
    <w:uiPriority w:val="0"/>
    <w:pPr>
      <w:ind w:firstLine="420"/>
    </w:pPr>
  </w:style>
  <w:style w:type="paragraph" w:styleId="14">
    <w:name w:val="Body Text"/>
    <w:basedOn w:val="1"/>
    <w:link w:val="87"/>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3"/>
    <w:qFormat/>
    <w:uiPriority w:val="0"/>
    <w:rPr>
      <w:b/>
      <w:bCs/>
      <w:kern w:val="44"/>
      <w:sz w:val="44"/>
      <w:szCs w:val="44"/>
    </w:rPr>
  </w:style>
  <w:style w:type="character" w:customStyle="1" w:styleId="36">
    <w:name w:val="标题 2 字符"/>
    <w:link w:val="4"/>
    <w:qFormat/>
    <w:uiPriority w:val="0"/>
    <w:rPr>
      <w:rFonts w:ascii="Arial" w:hAnsi="Arial" w:eastAsia="黑体"/>
      <w:b/>
      <w:bCs/>
      <w:kern w:val="2"/>
      <w:sz w:val="32"/>
      <w:szCs w:val="32"/>
    </w:rPr>
  </w:style>
  <w:style w:type="character" w:customStyle="1" w:styleId="37">
    <w:name w:val="标题 3 字符"/>
    <w:link w:val="5"/>
    <w:qFormat/>
    <w:uiPriority w:val="0"/>
    <w:rPr>
      <w:b/>
      <w:bCs/>
      <w:kern w:val="2"/>
      <w:sz w:val="32"/>
      <w:szCs w:val="32"/>
    </w:rPr>
  </w:style>
  <w:style w:type="character" w:customStyle="1" w:styleId="38">
    <w:name w:val="标题 4 字符"/>
    <w:link w:val="6"/>
    <w:qFormat/>
    <w:uiPriority w:val="0"/>
    <w:rPr>
      <w:rFonts w:ascii="Arial" w:hAnsi="Arial" w:eastAsia="黑体"/>
      <w:b/>
      <w:bCs/>
      <w:kern w:val="2"/>
      <w:sz w:val="28"/>
      <w:szCs w:val="28"/>
    </w:rPr>
  </w:style>
  <w:style w:type="character" w:customStyle="1" w:styleId="39">
    <w:name w:val="标题 5 字符"/>
    <w:link w:val="7"/>
    <w:qFormat/>
    <w:uiPriority w:val="0"/>
    <w:rPr>
      <w:b/>
      <w:bCs/>
      <w:kern w:val="2"/>
      <w:sz w:val="28"/>
      <w:szCs w:val="28"/>
    </w:rPr>
  </w:style>
  <w:style w:type="character" w:customStyle="1" w:styleId="40">
    <w:name w:val="标题 6 字符"/>
    <w:link w:val="8"/>
    <w:qFormat/>
    <w:uiPriority w:val="0"/>
    <w:rPr>
      <w:rFonts w:ascii="Arial" w:hAnsi="Arial" w:eastAsia="黑体"/>
      <w:b/>
      <w:bCs/>
      <w:kern w:val="2"/>
      <w:sz w:val="24"/>
      <w:szCs w:val="24"/>
    </w:rPr>
  </w:style>
  <w:style w:type="character" w:customStyle="1" w:styleId="41">
    <w:name w:val="标题 7 字符"/>
    <w:link w:val="9"/>
    <w:qFormat/>
    <w:uiPriority w:val="0"/>
    <w:rPr>
      <w:b/>
      <w:bCs/>
      <w:kern w:val="2"/>
      <w:sz w:val="24"/>
      <w:szCs w:val="24"/>
    </w:rPr>
  </w:style>
  <w:style w:type="character" w:customStyle="1" w:styleId="42">
    <w:name w:val="标题 8 字符"/>
    <w:link w:val="10"/>
    <w:qFormat/>
    <w:uiPriority w:val="0"/>
    <w:rPr>
      <w:rFonts w:ascii="Arial" w:hAnsi="Arial" w:eastAsia="黑体"/>
      <w:kern w:val="2"/>
      <w:sz w:val="24"/>
      <w:szCs w:val="24"/>
    </w:rPr>
  </w:style>
  <w:style w:type="character" w:customStyle="1" w:styleId="43">
    <w:name w:val="标题 9 字符"/>
    <w:link w:val="11"/>
    <w:qFormat/>
    <w:uiPriority w:val="0"/>
    <w:rPr>
      <w:rFonts w:ascii="Arial" w:hAnsi="Arial" w:eastAsia="黑体"/>
      <w:kern w:val="2"/>
      <w:sz w:val="21"/>
      <w:szCs w:val="21"/>
    </w:rPr>
  </w:style>
  <w:style w:type="character" w:customStyle="1" w:styleId="44">
    <w:name w:val="页眉 字符"/>
    <w:link w:val="19"/>
    <w:qFormat/>
    <w:uiPriority w:val="99"/>
    <w:rPr>
      <w:kern w:val="2"/>
      <w:sz w:val="18"/>
      <w:szCs w:val="18"/>
    </w:rPr>
  </w:style>
  <w:style w:type="character" w:customStyle="1" w:styleId="45">
    <w:name w:val="页脚 字符"/>
    <w:link w:val="18"/>
    <w:qFormat/>
    <w:uiPriority w:val="99"/>
    <w:rPr>
      <w:rFonts w:ascii="宋体"/>
      <w:kern w:val="2"/>
      <w:sz w:val="18"/>
      <w:szCs w:val="18"/>
    </w:rPr>
  </w:style>
  <w:style w:type="character" w:customStyle="1" w:styleId="46">
    <w:name w:val="批注框文本 字符"/>
    <w:link w:val="17"/>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4"/>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2"/>
    <w:semiHidden/>
    <w:qFormat/>
    <w:uiPriority w:val="0"/>
    <w:rPr>
      <w:rFonts w:ascii="宋体"/>
      <w:kern w:val="2"/>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paragraph" w:customStyle="1" w:styleId="231">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onfig/weixin/wechat/users/wxid_jsnj5x71gg6m22/message/cache/9e20f478899dc29eb19741386f9343c8/opendata/2025-03/C:\Program%20Files%20(x86)\StandardEditor\template\&#34892;&#19994;&#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CDBD69F16FC4981B481D3DD47B33E35"/>
        <w:style w:val=""/>
        <w:category>
          <w:name w:val="常规"/>
          <w:gallery w:val="placeholder"/>
        </w:category>
        <w:types>
          <w:type w:val="bbPlcHdr"/>
        </w:types>
        <w:behaviors>
          <w:behavior w:val="content"/>
        </w:behaviors>
        <w:description w:val=""/>
        <w:guid w:val="{E072B5C1-B5CB-4BA6-A208-206EFC208815}"/>
      </w:docPartPr>
      <w:docPartBody>
        <w:p>
          <w:pPr>
            <w:pStyle w:val="5"/>
          </w:pPr>
          <w:r>
            <w:rPr>
              <w:rStyle w:val="4"/>
              <w:rFonts w:hint="eastAsia"/>
            </w:rPr>
            <w:t>单击或点击此处输入文字。</w:t>
          </w:r>
        </w:p>
      </w:docPartBody>
    </w:docPart>
    <w:docPart>
      <w:docPartPr>
        <w:name w:val="7C336A78677C4742B19B12062AA02D4E"/>
        <w:style w:val=""/>
        <w:category>
          <w:name w:val="常规"/>
          <w:gallery w:val="placeholder"/>
        </w:category>
        <w:types>
          <w:type w:val="bbPlcHdr"/>
        </w:types>
        <w:behaviors>
          <w:behavior w:val="content"/>
        </w:behaviors>
        <w:description w:val=""/>
        <w:guid w:val="{088D1799-14C1-4B5F-B30C-39A8216B95C4}"/>
      </w:docPartPr>
      <w:docPartBody>
        <w:p>
          <w:pPr>
            <w:pStyle w:val="6"/>
          </w:pPr>
          <w:r>
            <w:rPr>
              <w:rStyle w:val="4"/>
              <w:rFonts w:hint="eastAsia"/>
            </w:rPr>
            <w:t>选择一项。</w:t>
          </w:r>
        </w:p>
      </w:docPartBody>
    </w:docPart>
    <w:docPart>
      <w:docPartPr>
        <w:name w:val="A1E57470594246E393C76C55190F9166"/>
        <w:style w:val=""/>
        <w:category>
          <w:name w:val="常规"/>
          <w:gallery w:val="placeholder"/>
        </w:category>
        <w:types>
          <w:type w:val="bbPlcHdr"/>
        </w:types>
        <w:behaviors>
          <w:behavior w:val="content"/>
        </w:behaviors>
        <w:description w:val=""/>
        <w:guid w:val="{8CE4233F-80DB-4375-B8E0-F16CF20B1C1E}"/>
      </w:docPartPr>
      <w:docPartBody>
        <w:p>
          <w:pPr>
            <w:pStyle w:val="7"/>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0C8"/>
    <w:rsid w:val="0001122D"/>
    <w:rsid w:val="00245E61"/>
    <w:rsid w:val="00DB1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DCDBD69F16FC4981B481D3DD47B33E35"/>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7C336A78677C4742B19B12062AA02D4E"/>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A1E57470594246E393C76C55190F9166"/>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行业标准</Template>
  <Company>PCMI</Company>
  <Pages>18</Pages>
  <Words>2257</Words>
  <Characters>2401</Characters>
  <Lines>1318</Lines>
  <Paragraphs>1287</Paragraphs>
  <TotalTime>8</TotalTime>
  <ScaleCrop>false</ScaleCrop>
  <LinksUpToDate>false</LinksUpToDate>
  <CharactersWithSpaces>2471</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2025-02-11T10:18:00Z</dcterms:created>
  <dc:creator>yutong shi</dc:creator>
  <dc:description>&lt;config cover="true" show_menu="true" version="1.0.0" doctype="SDKXY"&gt;_x000d_
&lt;/config&gt;</dc:description>
  <cp:lastModifiedBy>user</cp:lastModifiedBy>
  <cp:lastPrinted>2025-02-11T17:26:00Z</cp:lastPrinted>
  <dcterms:modified xsi:type="dcterms:W3CDTF">2025-03-03T19:26:04Z</dcterms:modified>
  <dc:title>行业标准</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2052-11.8.2.11929</vt:lpwstr>
  </property>
  <property fmtid="{D5CDD505-2E9C-101B-9397-08002B2CF9AE}" pid="15" name="KSOTemplateDocerSaveRecord">
    <vt:lpwstr>eyJoZGlkIjoiM2NiZjk1YzBlOWViZWJlYjU5MTNhNWU2NDRmNDg4ZDIiLCJ1c2VySWQiOiI2NDA4MzQyNjMifQ==</vt:lpwstr>
  </property>
  <property fmtid="{D5CDD505-2E9C-101B-9397-08002B2CF9AE}" pid="16" name="ICV">
    <vt:lpwstr>39118CC42794EC46CC91C5679D305DAE</vt:lpwstr>
  </property>
</Properties>
</file>