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24DC63D">
      <w:pPr>
        <w:framePr w:wrap="auto" w:vAnchor="margin" w:hAnchor="text" w:yAlign="inline"/>
        <w:spacing w:before="120" w:beforeLines="50" w:after="120" w:afterLines="50" w:line="300" w:lineRule="auto"/>
        <w:jc w:val="center"/>
        <w:outlineLvl w:val="0"/>
        <w:rPr>
          <w:rFonts w:hint="default" w:ascii="宋体" w:hAnsi="宋体" w:eastAsia="宋体" w:cs="宋体"/>
          <w:b/>
          <w:bCs/>
          <w:sz w:val="48"/>
          <w:szCs w:val="48"/>
          <w:lang w:val="zh-TW"/>
        </w:rPr>
      </w:pPr>
    </w:p>
    <w:p w14:paraId="3CBAE3E8">
      <w:pPr>
        <w:framePr w:wrap="auto" w:vAnchor="margin" w:hAnchor="text" w:yAlign="inline"/>
        <w:spacing w:before="120" w:beforeLines="50" w:after="120" w:afterLines="50" w:line="300" w:lineRule="auto"/>
        <w:jc w:val="center"/>
        <w:outlineLvl w:val="0"/>
        <w:rPr>
          <w:rFonts w:hint="default" w:ascii="宋体" w:hAnsi="宋体" w:eastAsia="宋体" w:cs="宋体"/>
          <w:b/>
          <w:bCs/>
          <w:sz w:val="48"/>
          <w:szCs w:val="48"/>
          <w:lang w:val="zh-TW"/>
        </w:rPr>
      </w:pPr>
    </w:p>
    <w:p w14:paraId="68C61BA3">
      <w:pPr>
        <w:framePr w:wrap="auto" w:vAnchor="margin" w:hAnchor="text" w:yAlign="inline"/>
        <w:spacing w:before="120" w:beforeLines="50" w:after="120" w:afterLines="50" w:line="300" w:lineRule="auto"/>
        <w:jc w:val="center"/>
        <w:outlineLvl w:val="0"/>
        <w:rPr>
          <w:rFonts w:hint="default" w:ascii="宋体" w:hAnsi="宋体" w:eastAsia="宋体" w:cs="宋体"/>
          <w:b/>
          <w:bCs/>
          <w:sz w:val="48"/>
          <w:szCs w:val="48"/>
          <w:lang w:val="zh-TW"/>
        </w:rPr>
      </w:pPr>
    </w:p>
    <w:p w14:paraId="131F2CAF">
      <w:pPr>
        <w:framePr w:wrap="auto" w:vAnchor="margin" w:hAnchor="text" w:yAlign="inline"/>
        <w:spacing w:before="120" w:beforeLines="50" w:after="120" w:afterLines="50" w:line="300" w:lineRule="auto"/>
        <w:jc w:val="center"/>
        <w:outlineLvl w:val="0"/>
        <w:rPr>
          <w:rFonts w:hint="default" w:ascii="宋体" w:hAnsi="宋体" w:eastAsia="宋体" w:cs="宋体"/>
          <w:b/>
          <w:bCs/>
          <w:sz w:val="48"/>
          <w:szCs w:val="48"/>
          <w:lang w:val="zh-TW"/>
        </w:rPr>
      </w:pPr>
    </w:p>
    <w:p w14:paraId="63A729E0">
      <w:pPr>
        <w:framePr w:wrap="auto" w:vAnchor="margin" w:hAnchor="text" w:yAlign="inline"/>
        <w:spacing w:before="120" w:beforeLines="50" w:after="120" w:afterLines="50" w:line="300" w:lineRule="auto"/>
        <w:jc w:val="center"/>
        <w:outlineLvl w:val="0"/>
        <w:rPr>
          <w:rFonts w:hint="default" w:ascii="黑体" w:hAnsi="黑体" w:eastAsia="黑体" w:cs="宋体"/>
          <w:sz w:val="48"/>
          <w:szCs w:val="48"/>
          <w:lang w:val="zh-TW"/>
        </w:rPr>
      </w:pPr>
      <w:r>
        <w:rPr>
          <w:rFonts w:ascii="黑体" w:hAnsi="黑体" w:eastAsia="黑体" w:cs="宋体"/>
          <w:sz w:val="48"/>
          <w:szCs w:val="48"/>
          <w:lang w:val="zh-TW"/>
        </w:rPr>
        <w:t>《</w:t>
      </w:r>
      <w:r>
        <w:rPr>
          <w:rFonts w:ascii="黑体" w:hAnsi="黑体" w:eastAsia="黑体" w:cs="宋体"/>
          <w:sz w:val="48"/>
          <w:szCs w:val="48"/>
        </w:rPr>
        <w:t>中餐术语与分类</w:t>
      </w:r>
      <w:r>
        <w:rPr>
          <w:rFonts w:ascii="黑体" w:hAnsi="黑体" w:eastAsia="黑体" w:cs="宋体"/>
          <w:sz w:val="48"/>
          <w:szCs w:val="48"/>
          <w:lang w:val="zh-TW"/>
        </w:rPr>
        <w:t>》</w:t>
      </w:r>
    </w:p>
    <w:p w14:paraId="2E0201B4">
      <w:pPr>
        <w:framePr w:wrap="auto" w:vAnchor="margin" w:hAnchor="text" w:yAlign="inline"/>
        <w:spacing w:before="120" w:beforeLines="50" w:after="120" w:afterLines="50" w:line="300" w:lineRule="auto"/>
        <w:jc w:val="center"/>
        <w:outlineLvl w:val="0"/>
        <w:rPr>
          <w:rFonts w:hint="default" w:ascii="黑体" w:hAnsi="黑体" w:eastAsia="黑体" w:cs="宋体"/>
          <w:sz w:val="48"/>
          <w:szCs w:val="48"/>
          <w:lang w:val="zh-TW" w:eastAsia="zh-TW"/>
        </w:rPr>
      </w:pPr>
      <w:r>
        <w:rPr>
          <w:rFonts w:ascii="黑体" w:hAnsi="黑体" w:eastAsia="黑体" w:cs="宋体"/>
          <w:sz w:val="48"/>
          <w:szCs w:val="48"/>
          <w:lang w:val="zh-TW" w:eastAsia="zh-TW"/>
        </w:rPr>
        <w:t>团体标准编制说明</w:t>
      </w:r>
    </w:p>
    <w:p w14:paraId="3894371C">
      <w:pPr>
        <w:framePr w:wrap="auto" w:vAnchor="margin" w:hAnchor="text" w:yAlign="inline"/>
        <w:spacing w:before="120" w:beforeLines="50" w:after="120" w:afterLines="50" w:line="300" w:lineRule="auto"/>
        <w:jc w:val="center"/>
        <w:outlineLvl w:val="0"/>
        <w:rPr>
          <w:rFonts w:hint="default" w:ascii="宋体" w:hAnsi="宋体" w:eastAsia="宋体" w:cs="宋体"/>
          <w:b/>
          <w:bCs/>
          <w:sz w:val="48"/>
          <w:szCs w:val="48"/>
          <w:lang w:val="zh-TW"/>
        </w:rPr>
      </w:pPr>
    </w:p>
    <w:p w14:paraId="29130391">
      <w:pPr>
        <w:framePr w:wrap="auto" w:vAnchor="margin" w:hAnchor="text" w:yAlign="inline"/>
        <w:spacing w:before="120" w:beforeLines="50" w:after="120" w:afterLines="50" w:line="300" w:lineRule="auto"/>
        <w:jc w:val="center"/>
        <w:outlineLvl w:val="0"/>
        <w:rPr>
          <w:rFonts w:hint="default" w:ascii="宋体" w:hAnsi="宋体" w:eastAsia="宋体" w:cs="宋体"/>
          <w:b/>
          <w:bCs/>
          <w:sz w:val="48"/>
          <w:szCs w:val="48"/>
          <w:lang w:val="zh-TW"/>
        </w:rPr>
      </w:pPr>
    </w:p>
    <w:p w14:paraId="597C95B6">
      <w:pPr>
        <w:framePr w:wrap="auto" w:vAnchor="margin" w:hAnchor="text" w:yAlign="inline"/>
        <w:spacing w:before="120" w:beforeLines="50" w:after="120" w:afterLines="50" w:line="300" w:lineRule="auto"/>
        <w:jc w:val="center"/>
        <w:outlineLvl w:val="0"/>
        <w:rPr>
          <w:rFonts w:hint="default" w:ascii="宋体" w:hAnsi="宋体" w:eastAsia="宋体" w:cs="宋体"/>
          <w:b/>
          <w:bCs/>
          <w:sz w:val="48"/>
          <w:szCs w:val="48"/>
          <w:lang w:val="zh-TW" w:eastAsia="zh-TW"/>
        </w:rPr>
      </w:pPr>
    </w:p>
    <w:p w14:paraId="1B883E43">
      <w:pPr>
        <w:framePr w:wrap="auto" w:vAnchor="margin" w:hAnchor="text" w:yAlign="inline"/>
        <w:spacing w:before="120" w:beforeLines="50" w:after="120" w:afterLines="50" w:line="300" w:lineRule="auto"/>
        <w:jc w:val="center"/>
        <w:outlineLvl w:val="0"/>
        <w:rPr>
          <w:rFonts w:hint="default" w:ascii="宋体" w:hAnsi="宋体" w:eastAsia="宋体" w:cs="宋体"/>
          <w:b/>
          <w:bCs/>
          <w:sz w:val="48"/>
          <w:szCs w:val="48"/>
          <w:lang w:val="zh-TW"/>
        </w:rPr>
      </w:pPr>
    </w:p>
    <w:p w14:paraId="54C94D55">
      <w:pPr>
        <w:framePr w:wrap="auto" w:vAnchor="margin" w:hAnchor="text" w:yAlign="inline"/>
        <w:spacing w:before="120" w:beforeLines="50" w:after="120" w:afterLines="50" w:line="300" w:lineRule="auto"/>
        <w:jc w:val="center"/>
        <w:outlineLvl w:val="0"/>
        <w:rPr>
          <w:rFonts w:hint="default" w:ascii="宋体" w:hAnsi="宋体" w:eastAsia="宋体" w:cs="宋体"/>
          <w:b/>
          <w:bCs/>
          <w:sz w:val="48"/>
          <w:szCs w:val="48"/>
          <w:lang w:val="zh-TW"/>
        </w:rPr>
      </w:pPr>
    </w:p>
    <w:p w14:paraId="49A88A2C">
      <w:pPr>
        <w:framePr w:wrap="auto" w:vAnchor="margin" w:hAnchor="text" w:yAlign="inline"/>
        <w:spacing w:before="120" w:beforeLines="50" w:after="120" w:afterLines="50" w:line="300" w:lineRule="auto"/>
        <w:jc w:val="center"/>
        <w:outlineLvl w:val="0"/>
        <w:rPr>
          <w:rFonts w:hint="default" w:ascii="宋体" w:hAnsi="宋体" w:eastAsia="宋体" w:cs="宋体"/>
          <w:b/>
          <w:bCs/>
          <w:sz w:val="48"/>
          <w:szCs w:val="48"/>
          <w:lang w:val="zh-TW"/>
        </w:rPr>
      </w:pPr>
    </w:p>
    <w:p w14:paraId="61C9A115">
      <w:pPr>
        <w:framePr w:wrap="auto" w:vAnchor="margin" w:hAnchor="text" w:yAlign="inline"/>
        <w:spacing w:before="120" w:beforeLines="50" w:after="120" w:afterLines="50" w:line="300" w:lineRule="auto"/>
        <w:jc w:val="center"/>
        <w:outlineLvl w:val="0"/>
        <w:rPr>
          <w:rFonts w:hint="default" w:ascii="宋体" w:hAnsi="宋体" w:eastAsia="宋体" w:cs="宋体"/>
          <w:b/>
          <w:bCs/>
          <w:sz w:val="48"/>
          <w:szCs w:val="48"/>
          <w:lang w:val="zh-TW"/>
        </w:rPr>
      </w:pPr>
    </w:p>
    <w:p w14:paraId="66CB1C9D">
      <w:pPr>
        <w:framePr w:wrap="auto" w:vAnchor="margin" w:hAnchor="text" w:yAlign="inline"/>
        <w:spacing w:before="120" w:beforeLines="50" w:after="120" w:afterLines="50" w:line="300" w:lineRule="auto"/>
        <w:jc w:val="center"/>
        <w:outlineLvl w:val="0"/>
        <w:rPr>
          <w:rFonts w:hint="default" w:ascii="宋体" w:hAnsi="宋体" w:eastAsia="宋体" w:cs="宋体"/>
          <w:b/>
          <w:bCs/>
          <w:sz w:val="48"/>
          <w:szCs w:val="48"/>
          <w:lang w:val="zh-TW"/>
        </w:rPr>
      </w:pPr>
    </w:p>
    <w:p w14:paraId="0F35A070">
      <w:pPr>
        <w:framePr w:wrap="auto" w:vAnchor="margin" w:hAnchor="text" w:yAlign="inline"/>
        <w:spacing w:before="120" w:beforeLines="50" w:after="120" w:afterLines="50" w:line="300" w:lineRule="auto"/>
        <w:jc w:val="center"/>
        <w:outlineLvl w:val="0"/>
        <w:rPr>
          <w:rFonts w:hint="default" w:ascii="宋体" w:hAnsi="宋体" w:eastAsia="宋体" w:cs="宋体"/>
          <w:b/>
          <w:bCs/>
          <w:sz w:val="28"/>
          <w:szCs w:val="28"/>
          <w:lang w:val="zh-TW"/>
        </w:rPr>
      </w:pPr>
      <w:r>
        <w:rPr>
          <w:rFonts w:hint="cs" w:ascii="宋体" w:hAnsi="宋体" w:eastAsia="宋体" w:cs="宋体"/>
          <w:b/>
          <w:bCs/>
          <w:sz w:val="28"/>
          <w:szCs w:val="28"/>
          <w:lang w:val="zh-TW" w:eastAsia="zh-TW"/>
        </w:rPr>
        <w:t>中国国际贸易促进委员会商业行业委员会</w:t>
      </w:r>
    </w:p>
    <w:p w14:paraId="17589B31">
      <w:pPr>
        <w:framePr w:wrap="auto" w:vAnchor="margin" w:hAnchor="text" w:yAlign="inline"/>
        <w:spacing w:before="120" w:beforeLines="50" w:after="120" w:afterLines="50" w:line="300" w:lineRule="auto"/>
        <w:jc w:val="center"/>
        <w:outlineLvl w:val="0"/>
        <w:rPr>
          <w:rFonts w:hint="default" w:ascii="宋体" w:hAnsi="宋体" w:eastAsia="宋体" w:cs="宋体"/>
          <w:sz w:val="28"/>
          <w:szCs w:val="28"/>
          <w:lang w:val="zh-TW" w:eastAsia="zh-TW"/>
        </w:rPr>
      </w:pPr>
      <w:r>
        <w:rPr>
          <w:rFonts w:ascii="宋体" w:hAnsi="宋体" w:eastAsia="宋体" w:cs="宋体"/>
          <w:sz w:val="28"/>
          <w:szCs w:val="28"/>
          <w:lang w:val="zh-TW" w:eastAsia="zh-TW"/>
        </w:rPr>
        <w:t>二〇二六年</w:t>
      </w:r>
      <w:r>
        <w:rPr>
          <w:rFonts w:ascii="宋体" w:hAnsi="宋体" w:eastAsia="宋体" w:cs="宋体"/>
          <w:sz w:val="28"/>
          <w:szCs w:val="28"/>
          <w:lang w:eastAsia="zh-TW"/>
        </w:rPr>
        <w:t>十一</w:t>
      </w:r>
      <w:r>
        <w:rPr>
          <w:rFonts w:ascii="宋体" w:hAnsi="宋体" w:eastAsia="宋体" w:cs="宋体"/>
          <w:sz w:val="28"/>
          <w:szCs w:val="28"/>
          <w:lang w:val="zh-TW" w:eastAsia="zh-TW"/>
        </w:rPr>
        <w:t>月五日</w:t>
      </w:r>
    </w:p>
    <w:p w14:paraId="3D466A9D">
      <w:pPr>
        <w:framePr w:wrap="auto" w:vAnchor="margin" w:hAnchor="text" w:yAlign="inline"/>
        <w:spacing w:line="300" w:lineRule="auto"/>
        <w:jc w:val="center"/>
        <w:outlineLvl w:val="0"/>
        <w:rPr>
          <w:rFonts w:hint="default" w:ascii="宋体" w:hAnsi="宋体" w:eastAsia="宋体" w:cs="宋体"/>
          <w:b/>
          <w:bCs/>
          <w:sz w:val="32"/>
          <w:szCs w:val="32"/>
          <w:lang w:val="zh-TW" w:eastAsia="zh-TW"/>
        </w:rPr>
        <w:sectPr>
          <w:headerReference r:id="rId5" w:type="first"/>
          <w:footerReference r:id="rId8" w:type="first"/>
          <w:headerReference r:id="rId3" w:type="default"/>
          <w:footerReference r:id="rId6" w:type="default"/>
          <w:headerReference r:id="rId4" w:type="even"/>
          <w:footerReference r:id="rId7" w:type="even"/>
          <w:pgSz w:w="11900" w:h="16840"/>
          <w:pgMar w:top="1440" w:right="1800" w:bottom="1440" w:left="1800" w:header="851" w:footer="992" w:gutter="0"/>
          <w:pgNumType w:start="1"/>
          <w:cols w:space="720" w:num="1"/>
        </w:sectPr>
      </w:pPr>
    </w:p>
    <w:p w14:paraId="5174CB45">
      <w:pPr>
        <w:framePr w:wrap="auto" w:vAnchor="margin" w:hAnchor="text" w:yAlign="inline"/>
        <w:spacing w:line="300" w:lineRule="auto"/>
        <w:jc w:val="center"/>
        <w:outlineLvl w:val="0"/>
        <w:rPr>
          <w:rFonts w:hint="default"/>
          <w:b/>
          <w:bCs/>
          <w:sz w:val="32"/>
          <w:szCs w:val="32"/>
          <w:lang w:val="zh-TW" w:eastAsia="zh-TW"/>
        </w:rPr>
      </w:pPr>
      <w:r>
        <w:rPr>
          <w:rFonts w:hint="cs" w:ascii="宋体" w:hAnsi="宋体" w:eastAsia="宋体" w:cs="宋体"/>
          <w:b/>
          <w:bCs/>
          <w:sz w:val="32"/>
          <w:szCs w:val="32"/>
          <w:lang w:val="zh-TW" w:eastAsia="zh-TW"/>
        </w:rPr>
        <w:t>《</w:t>
      </w:r>
      <w:r>
        <w:rPr>
          <w:rFonts w:hint="default" w:ascii="宋体" w:hAnsi="宋体" w:eastAsia="宋体" w:cs="宋体"/>
          <w:b/>
          <w:bCs/>
          <w:sz w:val="32"/>
          <w:szCs w:val="32"/>
        </w:rPr>
        <w:t>中餐术语与分类</w:t>
      </w:r>
      <w:r>
        <w:rPr>
          <w:rFonts w:hint="cs" w:ascii="宋体" w:hAnsi="宋体" w:eastAsia="宋体" w:cs="宋体"/>
          <w:b/>
          <w:bCs/>
          <w:sz w:val="32"/>
          <w:szCs w:val="32"/>
          <w:lang w:val="zh-TW" w:eastAsia="zh-TW"/>
        </w:rPr>
        <w:t>》</w:t>
      </w:r>
      <w:r>
        <w:rPr>
          <w:rFonts w:ascii="宋体" w:hAnsi="宋体" w:eastAsia="宋体" w:cs="宋体"/>
          <w:b/>
          <w:bCs/>
          <w:sz w:val="32"/>
          <w:szCs w:val="32"/>
          <w:lang w:val="zh-TW" w:eastAsia="zh-TW"/>
        </w:rPr>
        <w:t>团体标准编制说明</w:t>
      </w:r>
    </w:p>
    <w:p w14:paraId="08A705CA">
      <w:pPr>
        <w:framePr w:wrap="auto" w:vAnchor="margin" w:hAnchor="text" w:yAlign="inline"/>
        <w:spacing w:line="360" w:lineRule="auto"/>
        <w:ind w:firstLine="482"/>
        <w:rPr>
          <w:rFonts w:hint="default" w:ascii="宋体" w:hAnsi="宋体" w:eastAsia="宋体" w:cs="宋体"/>
          <w:b/>
          <w:bCs/>
          <w:kern w:val="0"/>
          <w:sz w:val="24"/>
          <w:szCs w:val="24"/>
          <w:lang w:eastAsia="zh-TW"/>
        </w:rPr>
      </w:pPr>
    </w:p>
    <w:p w14:paraId="0A95C332">
      <w:pPr>
        <w:pStyle w:val="13"/>
        <w:framePr w:wrap="auto" w:vAnchor="margin" w:hAnchor="text" w:yAlign="inline"/>
        <w:numPr>
          <w:ilvl w:val="0"/>
          <w:numId w:val="2"/>
        </w:numPr>
        <w:spacing w:line="360" w:lineRule="auto"/>
        <w:rPr>
          <w:rFonts w:hint="default" w:ascii="宋体" w:hAnsi="宋体" w:eastAsia="PMingLiU" w:cs="宋体"/>
          <w:b/>
          <w:bCs/>
          <w:color w:val="auto"/>
          <w:kern w:val="0"/>
          <w:sz w:val="24"/>
          <w:szCs w:val="24"/>
          <w:u w:color="0000FF"/>
          <w:lang w:val="zh-TW" w:eastAsia="zh-TW"/>
        </w:rPr>
      </w:pPr>
      <w:r>
        <w:rPr>
          <w:rFonts w:ascii="宋体" w:hAnsi="宋体" w:eastAsia="宋体" w:cs="宋体"/>
          <w:b/>
          <w:bCs/>
          <w:color w:val="auto"/>
          <w:kern w:val="0"/>
          <w:sz w:val="24"/>
          <w:szCs w:val="24"/>
          <w:u w:color="0000FF"/>
          <w:lang w:val="zh-TW" w:eastAsia="zh-TW"/>
        </w:rPr>
        <w:t>标准项目来源</w:t>
      </w:r>
    </w:p>
    <w:p w14:paraId="67F007FF">
      <w:pPr>
        <w:framePr w:wrap="auto" w:vAnchor="margin" w:hAnchor="text" w:yAlign="inline"/>
        <w:spacing w:line="360" w:lineRule="auto"/>
        <w:ind w:firstLine="480"/>
        <w:rPr>
          <w:rFonts w:hint="default" w:ascii="宋体" w:hAnsi="宋体" w:cs="宋体" w:eastAsiaTheme="minorEastAsia"/>
          <w:color w:val="auto"/>
          <w:sz w:val="24"/>
          <w:szCs w:val="24"/>
          <w:lang w:val="zh-TW"/>
        </w:rPr>
      </w:pPr>
      <w:r>
        <w:rPr>
          <w:rFonts w:hint="default" w:ascii="宋体" w:hAnsi="宋体" w:cs="宋体" w:eastAsiaTheme="minorEastAsia"/>
          <w:color w:val="auto"/>
          <w:sz w:val="24"/>
          <w:szCs w:val="24"/>
          <w:lang w:val="zh-TW"/>
        </w:rPr>
        <w:t>中餐是中国传统文化的重要载体，中国饮食和中餐文化日益受到全球关注与认可。截至2024年，中餐门店遍布全球180余个国家和地区，门店数量近70万家，海外市场规模近3万亿元，国际中餐市场规模预计2027年达4450亿美元左右，中餐已成为世界认识中国的重要窗口。</w:t>
      </w:r>
    </w:p>
    <w:p w14:paraId="7E6FA37D">
      <w:pPr>
        <w:framePr w:wrap="auto" w:vAnchor="margin" w:hAnchor="text" w:yAlign="inline"/>
        <w:spacing w:line="360" w:lineRule="auto"/>
        <w:ind w:firstLine="480"/>
        <w:rPr>
          <w:rFonts w:hint="default" w:ascii="宋体" w:hAnsi="宋体" w:cs="宋体" w:eastAsiaTheme="minorEastAsia"/>
          <w:color w:val="auto"/>
          <w:sz w:val="24"/>
          <w:szCs w:val="24"/>
          <w:lang w:val="zh-TW"/>
        </w:rPr>
      </w:pPr>
      <w:r>
        <w:rPr>
          <w:rFonts w:hint="default" w:ascii="宋体" w:hAnsi="宋体" w:cs="宋体" w:eastAsiaTheme="minorEastAsia"/>
          <w:color w:val="auto"/>
          <w:sz w:val="24"/>
          <w:szCs w:val="24"/>
          <w:lang w:val="zh-TW"/>
        </w:rPr>
        <w:t>然而，当前中餐领域普遍存在同名异义、异名同义、技法名称混乱、分类口径不一等问题，制约了行业交流、教学科研、连锁经营和国际传播，亟需以基础性标准予以统一。术语标准是标准体系中最基础、最核心的组成部分，但目前国内与中餐相关的标准集中在服务管理、菜名翻译和具体技艺层面，中餐术语与分类的基础性标准目前处于空白状态。</w:t>
      </w:r>
    </w:p>
    <w:p w14:paraId="20BCF079">
      <w:pPr>
        <w:framePr w:wrap="auto" w:vAnchor="margin" w:hAnchor="text" w:yAlign="inline"/>
        <w:spacing w:line="360" w:lineRule="auto"/>
        <w:ind w:firstLine="480"/>
        <w:rPr>
          <w:rFonts w:hint="default" w:ascii="宋体" w:hAnsi="宋体" w:eastAsia="宋体" w:cs="宋体"/>
          <w:color w:val="auto"/>
          <w:sz w:val="24"/>
          <w:szCs w:val="24"/>
          <w:lang w:val="zh-TW"/>
        </w:rPr>
      </w:pPr>
      <w:r>
        <w:rPr>
          <w:rFonts w:hint="default" w:ascii="宋体" w:hAnsi="宋体" w:cs="宋体" w:eastAsiaTheme="minorEastAsia"/>
          <w:color w:val="auto"/>
          <w:sz w:val="24"/>
          <w:szCs w:val="24"/>
          <w:lang w:val="zh-TW"/>
        </w:rPr>
        <w:t>本标准由北京东方美食研究院牵头，联合中国人民大学食学研究中心及知名餐饮企业，在对我国中餐行业现状充分调研的基础上提出申请的团体标准，旨在规范中餐术语与分类，夯实中餐标准化基础，推动中餐行业高质量发展。</w:t>
      </w:r>
    </w:p>
    <w:p w14:paraId="1B9A2ADA">
      <w:pPr>
        <w:pStyle w:val="13"/>
        <w:framePr w:wrap="auto" w:vAnchor="margin" w:hAnchor="text" w:yAlign="inline"/>
        <w:spacing w:line="360" w:lineRule="auto"/>
        <w:ind w:left="482" w:firstLine="0"/>
        <w:rPr>
          <w:rFonts w:hint="default" w:ascii="宋体" w:hAnsi="宋体" w:eastAsia="宋体" w:cs="宋体"/>
          <w:b/>
          <w:bCs/>
          <w:color w:val="auto"/>
          <w:kern w:val="0"/>
          <w:sz w:val="24"/>
          <w:szCs w:val="24"/>
          <w:u w:color="0000FF"/>
          <w:lang w:val="zh-TW" w:eastAsia="zh-TW"/>
        </w:rPr>
      </w:pPr>
      <w:r>
        <w:rPr>
          <w:rFonts w:ascii="宋体" w:hAnsi="宋体" w:eastAsia="宋体" w:cs="宋体"/>
          <w:b/>
          <w:bCs/>
          <w:color w:val="auto"/>
          <w:kern w:val="0"/>
          <w:sz w:val="24"/>
          <w:szCs w:val="24"/>
          <w:u w:color="0000FF"/>
          <w:lang w:val="zh-TW" w:eastAsia="zh-TW"/>
        </w:rPr>
        <w:t>二、标准制定的目的和意义</w:t>
      </w:r>
    </w:p>
    <w:p w14:paraId="311FA249">
      <w:pPr>
        <w:framePr w:wrap="auto" w:vAnchor="margin" w:hAnchor="text" w:yAlign="inline"/>
        <w:spacing w:line="360" w:lineRule="auto"/>
        <w:ind w:firstLine="480"/>
        <w:rPr>
          <w:rFonts w:hint="default" w:ascii="宋体" w:hAnsi="宋体" w:eastAsia="宋体" w:cs="宋体"/>
          <w:color w:val="auto"/>
          <w:sz w:val="24"/>
          <w:szCs w:val="24"/>
          <w:lang w:val="zh-TW" w:eastAsia="zh-TW"/>
        </w:rPr>
      </w:pPr>
      <w:r>
        <w:rPr>
          <w:rFonts w:hint="default" w:ascii="宋体" w:hAnsi="宋体" w:eastAsia="宋体" w:cs="宋体"/>
          <w:color w:val="auto"/>
          <w:sz w:val="24"/>
          <w:szCs w:val="24"/>
          <w:lang w:val="zh-TW" w:eastAsia="zh-TW"/>
        </w:rPr>
        <w:t>本标准旨在通过规范化、系统化的术语定义和分类体系，统一中餐行业内的术语使用，促进中餐文化的传承与发展，提升中餐在国际上的影响力。中餐术语与分类的规范化具有极其重要的意义，具体体现如下：</w:t>
      </w:r>
    </w:p>
    <w:p w14:paraId="25A1942D">
      <w:pPr>
        <w:framePr w:wrap="auto" w:vAnchor="margin" w:hAnchor="text" w:yAlign="inline"/>
        <w:spacing w:line="360" w:lineRule="auto"/>
        <w:ind w:firstLine="480"/>
        <w:rPr>
          <w:rFonts w:hint="default" w:ascii="宋体" w:hAnsi="宋体" w:eastAsia="宋体" w:cs="宋体"/>
          <w:color w:val="auto"/>
          <w:sz w:val="24"/>
          <w:szCs w:val="24"/>
          <w:lang w:val="zh-TW" w:eastAsia="zh-TW"/>
        </w:rPr>
      </w:pPr>
      <w:r>
        <w:rPr>
          <w:rFonts w:hint="default" w:ascii="宋体" w:hAnsi="宋体" w:eastAsia="宋体" w:cs="宋体"/>
          <w:color w:val="auto"/>
          <w:sz w:val="24"/>
          <w:szCs w:val="24"/>
          <w:lang w:val="zh-TW" w:eastAsia="zh-TW"/>
        </w:rPr>
        <w:t>1.提高中餐行业标准化程度，推动中餐高质量发展。随着人们经济水平和餐饮消费需求的提高，餐饮行业的发展必须以质为核心、以标准化为基础，中餐的标准化与信息化已经成为发展的趋势。本标准的制定能够促进餐饮行业规范发展，提升中餐产业的质量，有助于餐饮行业升级和转型，满足消费者的多样化需求。</w:t>
      </w:r>
    </w:p>
    <w:p w14:paraId="42BE4B07">
      <w:pPr>
        <w:framePr w:wrap="auto" w:vAnchor="margin" w:hAnchor="text" w:yAlign="inline"/>
        <w:spacing w:line="360" w:lineRule="auto"/>
        <w:ind w:firstLine="480"/>
        <w:rPr>
          <w:rFonts w:hint="default" w:ascii="宋体" w:hAnsi="宋体" w:eastAsia="宋体" w:cs="宋体"/>
          <w:color w:val="auto"/>
          <w:sz w:val="24"/>
          <w:szCs w:val="24"/>
          <w:lang w:val="zh-TW" w:eastAsia="zh-TW"/>
        </w:rPr>
      </w:pPr>
      <w:r>
        <w:rPr>
          <w:rFonts w:hint="default" w:ascii="宋体" w:hAnsi="宋体" w:eastAsia="宋体" w:cs="宋体"/>
          <w:color w:val="auto"/>
          <w:sz w:val="24"/>
          <w:szCs w:val="24"/>
          <w:lang w:val="zh-TW" w:eastAsia="zh-TW"/>
        </w:rPr>
        <w:t>2.传承和发展中华饮食文化，提高文化自信。中国历史悠久、国土辽阔、人口众多，不同地区形成了独具特色且内涵丰富的饮食文化。通过对中餐术语的标准化，一方面可以更好地认识、理解和研究中国饮食文化的多样性和丰富性，另一方面在传播与交流过程中有统一、规范的术语表达，有利于其传承与发展。标准的实施可以帮助保护传统饮食文化，防止其被商业化或过度简化，让中国人更加自豪地展示自己的文化特色和优势，增强对中华文化的认同感和自信心。</w:t>
      </w:r>
    </w:p>
    <w:p w14:paraId="19512CBA">
      <w:pPr>
        <w:framePr w:wrap="auto" w:vAnchor="margin" w:hAnchor="text" w:yAlign="inline"/>
        <w:spacing w:line="360" w:lineRule="auto"/>
        <w:ind w:firstLine="480"/>
        <w:rPr>
          <w:rFonts w:hint="default" w:ascii="宋体" w:hAnsi="宋体" w:eastAsia="宋体" w:cs="宋体"/>
          <w:color w:val="auto"/>
          <w:sz w:val="24"/>
          <w:szCs w:val="24"/>
          <w:lang w:val="zh-TW" w:eastAsia="zh-TW"/>
        </w:rPr>
      </w:pPr>
      <w:r>
        <w:rPr>
          <w:rFonts w:hint="default" w:ascii="宋体" w:hAnsi="宋体" w:eastAsia="宋体" w:cs="宋体"/>
          <w:color w:val="auto"/>
          <w:sz w:val="24"/>
          <w:szCs w:val="24"/>
          <w:lang w:val="zh-TW" w:eastAsia="zh-TW"/>
        </w:rPr>
        <w:t>3.夯实标准化基础，支撑行业管理。本标准将为中餐领域其他标准的制定（如评价规范、制作规范、服务规范、预制菜标准等）提供统一的术语基础和分类框架；同时为餐饮行业监管、统计、标准化工作提供统一的术语基础，为菜单明示、预制菜明示、过敏原提示等消费信息公开提供规范表述，减少消费纠纷。</w:t>
      </w:r>
    </w:p>
    <w:p w14:paraId="5A2DA599">
      <w:pPr>
        <w:framePr w:wrap="auto" w:vAnchor="margin" w:hAnchor="text" w:yAlign="inline"/>
        <w:spacing w:line="360" w:lineRule="auto"/>
        <w:ind w:firstLine="480"/>
        <w:rPr>
          <w:rFonts w:hint="default" w:ascii="宋体" w:hAnsi="宋体" w:eastAsia="宋体" w:cs="宋体"/>
          <w:color w:val="auto"/>
          <w:sz w:val="24"/>
          <w:szCs w:val="24"/>
          <w:lang w:val="zh-TW" w:eastAsia="zh-TW"/>
        </w:rPr>
      </w:pPr>
      <w:r>
        <w:rPr>
          <w:rFonts w:hint="default" w:ascii="宋体" w:hAnsi="宋体" w:eastAsia="宋体" w:cs="宋体"/>
          <w:color w:val="auto"/>
          <w:sz w:val="24"/>
          <w:szCs w:val="24"/>
          <w:lang w:val="zh-TW" w:eastAsia="zh-TW"/>
        </w:rPr>
        <w:t>4.弘扬中餐文化，提升国际影响力。随着中国经济的快速发展和对外开放程度的提高，中餐在国际上的知名度和影响力不断提升。通过标准建设，有助于国际社会更好地理解和认识中华饮食文化，为中国饮食文化走出去提供支持，增强国际话语权和影响力。</w:t>
      </w:r>
    </w:p>
    <w:p w14:paraId="046ABF78">
      <w:pPr>
        <w:framePr w:wrap="auto" w:vAnchor="margin" w:hAnchor="text" w:yAlign="inline"/>
        <w:spacing w:line="360" w:lineRule="auto"/>
        <w:ind w:firstLine="480"/>
        <w:rPr>
          <w:rFonts w:hint="default" w:ascii="宋体" w:hAnsi="宋体" w:eastAsia="宋体" w:cs="宋体"/>
          <w:color w:val="auto"/>
          <w:sz w:val="24"/>
          <w:szCs w:val="24"/>
          <w:lang w:val="zh-TW"/>
        </w:rPr>
      </w:pPr>
      <w:r>
        <w:rPr>
          <w:rFonts w:hint="default" w:ascii="宋体" w:hAnsi="宋体" w:eastAsia="宋体" w:cs="宋体"/>
          <w:color w:val="auto"/>
          <w:sz w:val="24"/>
          <w:szCs w:val="24"/>
          <w:lang w:val="zh-TW" w:eastAsia="zh-TW"/>
        </w:rPr>
        <w:t>因此，本标准有助于推动中餐产业高质量发展，对弘扬中华饮食文化、提升中餐国际地位、增强文化自信有着十分重大的现实意义。</w:t>
      </w:r>
    </w:p>
    <w:p w14:paraId="0E402302">
      <w:pPr>
        <w:pStyle w:val="13"/>
        <w:framePr w:wrap="auto" w:vAnchor="margin" w:hAnchor="text" w:yAlign="inline"/>
        <w:spacing w:line="360" w:lineRule="auto"/>
        <w:ind w:left="482" w:firstLine="0"/>
        <w:rPr>
          <w:rFonts w:hint="default" w:ascii="宋体" w:hAnsi="宋体" w:eastAsia="宋体" w:cs="宋体"/>
          <w:b/>
          <w:bCs/>
          <w:color w:val="auto"/>
          <w:kern w:val="0"/>
          <w:sz w:val="24"/>
          <w:szCs w:val="24"/>
          <w:u w:color="0000FF"/>
          <w:lang w:val="zh-TW" w:eastAsia="zh-TW"/>
        </w:rPr>
      </w:pPr>
      <w:r>
        <w:rPr>
          <w:rFonts w:ascii="宋体" w:hAnsi="宋体" w:eastAsia="宋体" w:cs="宋体"/>
          <w:b/>
          <w:bCs/>
          <w:color w:val="auto"/>
          <w:kern w:val="0"/>
          <w:sz w:val="24"/>
          <w:szCs w:val="24"/>
          <w:u w:color="0000FF"/>
          <w:lang w:val="zh-TW" w:eastAsia="zh-TW"/>
        </w:rPr>
        <w:t>三、标准起草的过程简述</w:t>
      </w:r>
    </w:p>
    <w:p w14:paraId="4D8BB0FC">
      <w:pPr>
        <w:framePr w:wrap="auto" w:vAnchor="margin" w:hAnchor="text" w:yAlign="inline"/>
        <w:spacing w:line="360" w:lineRule="auto"/>
        <w:ind w:firstLine="236" w:firstLineChars="98"/>
        <w:rPr>
          <w:rFonts w:hint="default" w:ascii="宋体" w:hAnsi="宋体" w:eastAsia="宋体" w:cs="宋体"/>
          <w:b/>
          <w:bCs/>
          <w:sz w:val="24"/>
          <w:szCs w:val="24"/>
          <w:lang w:val="zh-TW" w:eastAsia="zh-TW"/>
        </w:rPr>
      </w:pPr>
      <w:r>
        <w:rPr>
          <w:rFonts w:ascii="宋体" w:hAnsi="宋体" w:eastAsia="宋体" w:cs="宋体"/>
          <w:b/>
          <w:bCs/>
          <w:sz w:val="24"/>
          <w:szCs w:val="24"/>
          <w:lang w:val="zh-TW" w:eastAsia="zh-TW"/>
        </w:rPr>
        <w:t>（一）预研阶段（</w:t>
      </w:r>
      <w:r>
        <w:rPr>
          <w:rFonts w:ascii="宋体" w:hAnsi="宋体" w:eastAsia="宋体" w:cs="宋体"/>
          <w:b/>
          <w:bCs/>
          <w:sz w:val="24"/>
          <w:szCs w:val="24"/>
          <w:lang w:val="zh-TW"/>
        </w:rPr>
        <w:t>2023年至2026年5月</w:t>
      </w:r>
      <w:r>
        <w:rPr>
          <w:rFonts w:ascii="宋体" w:hAnsi="宋体" w:eastAsia="宋体" w:cs="宋体"/>
          <w:b/>
          <w:bCs/>
          <w:sz w:val="24"/>
          <w:szCs w:val="24"/>
          <w:lang w:val="zh-TW" w:eastAsia="zh-TW"/>
        </w:rPr>
        <w:t>）</w:t>
      </w:r>
    </w:p>
    <w:p w14:paraId="0311824D">
      <w:pPr>
        <w:framePr w:wrap="auto" w:vAnchor="margin" w:hAnchor="text" w:yAlign="inline"/>
        <w:spacing w:line="360" w:lineRule="auto"/>
        <w:ind w:firstLine="480"/>
        <w:rPr>
          <w:rFonts w:hint="default" w:ascii="宋体" w:hAnsi="宋体" w:eastAsia="宋体" w:cs="宋体"/>
          <w:color w:val="auto"/>
          <w:sz w:val="24"/>
          <w:szCs w:val="24"/>
          <w:lang w:val="zh-TW"/>
        </w:rPr>
      </w:pPr>
      <w:r>
        <w:rPr>
          <w:rFonts w:ascii="宋体" w:hAnsi="宋体" w:eastAsia="宋体" w:cs="宋体"/>
          <w:color w:val="auto"/>
          <w:sz w:val="24"/>
          <w:szCs w:val="24"/>
          <w:lang w:val="zh-TW" w:eastAsia="zh-TW"/>
        </w:rPr>
        <w:t>2023年，北京东方美食研究院启动《中餐术语与分类》标准预研工作，广泛开展内外部调研，收集整理国内外中餐术语、分类相关资料和现行标准</w:t>
      </w:r>
      <w:r>
        <w:rPr>
          <w:rFonts w:ascii="宋体" w:hAnsi="宋体" w:eastAsia="宋体" w:cs="宋体"/>
          <w:color w:val="auto"/>
          <w:sz w:val="24"/>
          <w:szCs w:val="24"/>
          <w:lang w:val="zh-TW"/>
        </w:rPr>
        <w:t>，为标准编制奠定了基础。</w:t>
      </w:r>
      <w:r>
        <w:rPr>
          <w:rFonts w:ascii="宋体" w:hAnsi="宋体" w:eastAsia="宋体" w:cs="宋体"/>
          <w:color w:val="auto"/>
          <w:sz w:val="24"/>
          <w:szCs w:val="24"/>
          <w:lang w:val="zh-TW" w:eastAsia="zh-TW"/>
        </w:rPr>
        <w:t>同年11月，先后在中国饭店协会、中国标准化研究院召开专家座谈会。与会专家对标准编制工作的重要性和必要性给予高度认可，并围绕标准的内容、结构、术语和定义等提出了建设性意见，进一步确立了标准的框架结构。</w:t>
      </w:r>
    </w:p>
    <w:p w14:paraId="4EC4398F">
      <w:pPr>
        <w:framePr w:wrap="auto" w:vAnchor="margin" w:hAnchor="text" w:yAlign="inline"/>
        <w:spacing w:line="360" w:lineRule="auto"/>
        <w:ind w:firstLine="480"/>
        <w:rPr>
          <w:rFonts w:hint="default" w:ascii="宋体" w:hAnsi="宋体" w:eastAsia="宋体" w:cs="宋体"/>
          <w:color w:val="auto"/>
          <w:sz w:val="24"/>
          <w:szCs w:val="24"/>
          <w:lang w:val="zh-TW"/>
        </w:rPr>
      </w:pPr>
      <w:r>
        <w:rPr>
          <w:rFonts w:ascii="宋体" w:hAnsi="宋体" w:eastAsia="宋体" w:cs="宋体"/>
          <w:color w:val="auto"/>
          <w:sz w:val="24"/>
          <w:szCs w:val="24"/>
          <w:lang w:val="zh-TW"/>
        </w:rPr>
        <w:t>在前期预研和专家论证的基础上，研究院于2024年6月正式成立标准起草工作组，制定工作方案，并依据专家意见研究确定了标准的总体框架、术语体系结构和分类原则。</w:t>
      </w:r>
    </w:p>
    <w:p w14:paraId="702EFA9D">
      <w:pPr>
        <w:framePr w:wrap="auto" w:vAnchor="margin" w:hAnchor="text" w:yAlign="inline"/>
        <w:spacing w:line="360" w:lineRule="auto"/>
        <w:ind w:firstLine="480"/>
        <w:rPr>
          <w:rFonts w:hint="default" w:ascii="宋体" w:hAnsi="宋体" w:eastAsia="宋体" w:cs="宋体"/>
          <w:color w:val="auto"/>
          <w:sz w:val="24"/>
          <w:szCs w:val="24"/>
          <w:lang w:val="zh-TW"/>
        </w:rPr>
      </w:pPr>
      <w:r>
        <w:rPr>
          <w:rFonts w:ascii="宋体" w:hAnsi="宋体" w:eastAsia="宋体" w:cs="宋体"/>
          <w:color w:val="auto"/>
          <w:sz w:val="24"/>
          <w:szCs w:val="24"/>
          <w:lang w:val="zh-TW"/>
        </w:rPr>
        <w:t>此后，起草工作组在深入调研的基础上形成标准主要技术内容，并广泛听取各方意见，据此对标准草案稿进行多轮修改完善。至2026年5月，标准草案稿基本成熟，为标准立项和后续编制工作创造了良好条件。</w:t>
      </w:r>
    </w:p>
    <w:p w14:paraId="51C073C7">
      <w:pPr>
        <w:framePr w:wrap="auto" w:vAnchor="margin" w:hAnchor="text" w:yAlign="inline"/>
        <w:spacing w:line="360" w:lineRule="auto"/>
        <w:ind w:firstLine="236" w:firstLineChars="98"/>
        <w:rPr>
          <w:rFonts w:hint="default" w:ascii="宋体" w:hAnsi="宋体" w:eastAsia="宋体" w:cs="宋体"/>
          <w:b/>
          <w:bCs/>
          <w:sz w:val="24"/>
          <w:szCs w:val="24"/>
          <w:lang w:val="zh-TW" w:eastAsia="zh-TW"/>
        </w:rPr>
      </w:pPr>
      <w:r>
        <w:rPr>
          <w:rFonts w:ascii="宋体" w:hAnsi="宋体" w:eastAsia="宋体" w:cs="宋体"/>
          <w:b/>
          <w:bCs/>
          <w:sz w:val="24"/>
          <w:szCs w:val="24"/>
          <w:lang w:val="zh-TW" w:eastAsia="zh-TW"/>
        </w:rPr>
        <w:t>（二）立项阶段（2026年6月-8月）</w:t>
      </w:r>
    </w:p>
    <w:p w14:paraId="1109B0E5">
      <w:pPr>
        <w:framePr w:wrap="auto" w:vAnchor="margin" w:hAnchor="text" w:yAlign="inline"/>
        <w:spacing w:line="360" w:lineRule="auto"/>
        <w:ind w:firstLine="480"/>
        <w:rPr>
          <w:rFonts w:hint="default" w:ascii="宋体" w:hAnsi="宋体" w:eastAsia="宋体" w:cs="宋体"/>
          <w:color w:val="auto"/>
          <w:sz w:val="24"/>
          <w:szCs w:val="24"/>
        </w:rPr>
      </w:pPr>
      <w:r>
        <w:rPr>
          <w:rFonts w:ascii="宋体" w:hAnsi="宋体" w:eastAsia="宋体" w:cs="宋体"/>
          <w:color w:val="auto"/>
          <w:sz w:val="24"/>
          <w:szCs w:val="24"/>
        </w:rPr>
        <w:t>2026年6月-8月，北京东方美食研究院联合参与起草单位正式向中国贸促会商业行业委员会提交《中餐术语与分类》团体标准立项申请，并配合开展立项评审工作。于2026年8月24日正式立项。</w:t>
      </w:r>
    </w:p>
    <w:p w14:paraId="10383BED">
      <w:pPr>
        <w:framePr w:wrap="auto" w:vAnchor="margin" w:hAnchor="text" w:yAlign="inline"/>
        <w:spacing w:line="360" w:lineRule="auto"/>
        <w:ind w:firstLine="236" w:firstLineChars="98"/>
        <w:rPr>
          <w:rFonts w:hint="default" w:ascii="宋体" w:hAnsi="宋体" w:eastAsia="宋体" w:cs="宋体"/>
          <w:b/>
          <w:bCs/>
          <w:sz w:val="24"/>
          <w:szCs w:val="24"/>
          <w:lang w:val="zh-TW" w:eastAsia="zh-TW"/>
        </w:rPr>
      </w:pPr>
      <w:r>
        <w:rPr>
          <w:rFonts w:ascii="宋体" w:hAnsi="宋体" w:eastAsia="宋体" w:cs="宋体"/>
          <w:b/>
          <w:bCs/>
          <w:sz w:val="24"/>
          <w:szCs w:val="24"/>
          <w:lang w:val="zh-TW" w:eastAsia="zh-TW"/>
        </w:rPr>
        <w:t>（三）征求意见阶段（2026年11月-12月）</w:t>
      </w:r>
    </w:p>
    <w:p w14:paraId="7355B501">
      <w:pPr>
        <w:framePr w:wrap="auto" w:vAnchor="margin" w:hAnchor="text" w:yAlign="inline"/>
        <w:spacing w:line="360" w:lineRule="auto"/>
        <w:ind w:firstLine="480"/>
        <w:rPr>
          <w:rFonts w:hint="default" w:ascii="宋体" w:hAnsi="宋体" w:eastAsia="宋体" w:cs="宋体"/>
          <w:color w:val="auto"/>
          <w:sz w:val="24"/>
          <w:szCs w:val="24"/>
          <w:lang w:val="en-US" w:eastAsia="zh-CN"/>
        </w:rPr>
      </w:pPr>
      <w:r>
        <w:rPr>
          <w:rFonts w:ascii="宋体" w:hAnsi="宋体" w:eastAsia="宋体" w:cs="宋体"/>
          <w:color w:val="auto"/>
          <w:sz w:val="24"/>
          <w:szCs w:val="24"/>
        </w:rPr>
        <w:t>立项后，团队对标准进一步进行优化完善，形成征求意见稿。</w:t>
      </w:r>
      <w:r>
        <w:rPr>
          <w:rFonts w:hint="eastAsia" w:ascii="宋体" w:hAnsi="宋体" w:eastAsia="宋体" w:cs="宋体"/>
          <w:color w:val="auto"/>
          <w:sz w:val="24"/>
          <w:szCs w:val="24"/>
          <w:lang w:val="en-US" w:eastAsia="zh-CN"/>
        </w:rPr>
        <w:t>通过全国团体标准信息平台、中国贸促会商业行业委员会官网、官微等平台发布征求意见通知。</w:t>
      </w:r>
    </w:p>
    <w:p w14:paraId="1F54A131">
      <w:pPr>
        <w:framePr w:wrap="auto" w:vAnchor="margin" w:hAnchor="text" w:yAlign="inline"/>
        <w:spacing w:line="360" w:lineRule="auto"/>
        <w:ind w:firstLine="482"/>
        <w:rPr>
          <w:rFonts w:hint="default" w:ascii="宋体" w:hAnsi="宋体" w:eastAsia="宋体" w:cs="宋体"/>
          <w:b/>
          <w:bCs/>
          <w:kern w:val="0"/>
          <w:sz w:val="24"/>
          <w:szCs w:val="24"/>
          <w:lang w:val="zh-TW" w:eastAsia="zh-TW"/>
        </w:rPr>
      </w:pPr>
      <w:r>
        <w:rPr>
          <w:rFonts w:ascii="宋体" w:hAnsi="宋体" w:eastAsia="宋体" w:cs="宋体"/>
          <w:b/>
          <w:bCs/>
          <w:kern w:val="0"/>
          <w:sz w:val="24"/>
          <w:szCs w:val="24"/>
          <w:lang w:val="zh-TW" w:eastAsia="zh-TW"/>
        </w:rPr>
        <w:t>四、标准的主要内容和依据</w:t>
      </w:r>
    </w:p>
    <w:p w14:paraId="0CB899E3">
      <w:pPr>
        <w:framePr w:wrap="auto" w:vAnchor="margin" w:hAnchor="text" w:yAlign="inline"/>
        <w:spacing w:line="360" w:lineRule="auto"/>
        <w:ind w:firstLine="480"/>
        <w:rPr>
          <w:rFonts w:hint="default" w:ascii="宋体" w:hAnsi="宋体" w:eastAsia="宋体" w:cs="宋体"/>
          <w:color w:val="auto"/>
          <w:sz w:val="24"/>
          <w:szCs w:val="24"/>
        </w:rPr>
      </w:pPr>
      <w:r>
        <w:rPr>
          <w:rFonts w:ascii="宋体" w:hAnsi="宋体" w:eastAsia="宋体" w:cs="宋体"/>
          <w:color w:val="auto"/>
          <w:sz w:val="24"/>
          <w:szCs w:val="24"/>
        </w:rPr>
        <w:t>1、</w:t>
      </w:r>
      <w:r>
        <w:rPr>
          <w:rFonts w:ascii="宋体" w:hAnsi="宋体" w:eastAsia="宋体" w:cs="宋体"/>
          <w:color w:val="auto"/>
          <w:sz w:val="24"/>
          <w:szCs w:val="24"/>
          <w:lang w:val="zh-TW" w:eastAsia="zh-TW"/>
        </w:rPr>
        <w:t>制定原则</w:t>
      </w:r>
    </w:p>
    <w:p w14:paraId="20F45F13">
      <w:pPr>
        <w:pStyle w:val="10"/>
        <w:spacing w:line="360" w:lineRule="auto"/>
        <w:ind w:firstLine="480"/>
        <w:rPr>
          <w:rFonts w:hAnsi="宋体" w:cs="宋体"/>
          <w:kern w:val="2"/>
          <w:sz w:val="24"/>
          <w:szCs w:val="24"/>
          <w:u w:color="000000"/>
          <w:lang w:val="zh-TW"/>
        </w:rPr>
      </w:pPr>
      <w:r>
        <w:rPr>
          <w:rFonts w:hAnsi="宋体" w:cs="宋体"/>
          <w:kern w:val="2"/>
          <w:sz w:val="24"/>
          <w:szCs w:val="24"/>
          <w:u w:color="000000"/>
          <w:lang w:val="zh-TW"/>
        </w:rPr>
        <w:t>本标准的编写符合GB/T 1.1-2020《标准化工作导则  第1部分：标准化文件的结构和起草规划》的相关要求，以保证标准的编写质量。</w:t>
      </w:r>
    </w:p>
    <w:p w14:paraId="53586E0A">
      <w:pPr>
        <w:pStyle w:val="10"/>
        <w:spacing w:line="360" w:lineRule="auto"/>
        <w:ind w:firstLine="480"/>
        <w:rPr>
          <w:rFonts w:hAnsi="宋体" w:cs="宋体"/>
          <w:kern w:val="2"/>
          <w:sz w:val="24"/>
          <w:szCs w:val="24"/>
          <w:u w:color="000000"/>
        </w:rPr>
      </w:pPr>
      <w:r>
        <w:rPr>
          <w:rFonts w:hAnsi="宋体" w:cs="宋体"/>
          <w:kern w:val="2"/>
          <w:sz w:val="24"/>
          <w:szCs w:val="24"/>
          <w:u w:color="000000"/>
        </w:rPr>
        <w:t>编制过程中遵循科学性、系统性、规范性原则：以系统化的食学知识体系作为学理依据，使术语定义既符合行业实践，又有学科逻辑支撑；按照"基础术语—原料—技法—产品—业态"的全链条逻辑构建术语体系；术语界定遵循"尊重行业惯例、不与现行国家标准冲突"的原则，凡已有国家标准界定的通用术语直接引用或保持协调，本标准只界定中餐领域特有概念，避免交叉重复。</w:t>
      </w:r>
    </w:p>
    <w:p w14:paraId="59F02BED">
      <w:pPr>
        <w:framePr w:wrap="auto" w:vAnchor="margin" w:hAnchor="text" w:yAlign="inline"/>
        <w:spacing w:line="360" w:lineRule="auto"/>
        <w:ind w:firstLine="480"/>
        <w:rPr>
          <w:rFonts w:hint="default" w:ascii="宋体" w:hAnsi="宋体" w:eastAsia="宋体" w:cs="宋体"/>
          <w:color w:val="auto"/>
          <w:sz w:val="24"/>
          <w:szCs w:val="24"/>
        </w:rPr>
      </w:pPr>
      <w:r>
        <w:rPr>
          <w:rFonts w:ascii="宋体" w:hAnsi="宋体" w:eastAsia="宋体" w:cs="宋体"/>
          <w:color w:val="auto"/>
          <w:sz w:val="24"/>
          <w:szCs w:val="24"/>
        </w:rPr>
        <w:t>2、主要技术内容的说明</w:t>
      </w:r>
    </w:p>
    <w:p w14:paraId="780C9C2D">
      <w:pPr>
        <w:pStyle w:val="10"/>
        <w:spacing w:line="360" w:lineRule="auto"/>
        <w:ind w:firstLine="480"/>
        <w:rPr>
          <w:rFonts w:hAnsi="宋体" w:cs="宋体"/>
          <w:kern w:val="2"/>
          <w:sz w:val="24"/>
          <w:szCs w:val="24"/>
          <w:u w:color="000000"/>
          <w:lang w:val="zh-TW"/>
        </w:rPr>
      </w:pPr>
      <w:r>
        <w:rPr>
          <w:rFonts w:hAnsi="宋体" w:cs="宋体"/>
          <w:kern w:val="2"/>
          <w:sz w:val="24"/>
          <w:szCs w:val="24"/>
          <w:u w:color="000000"/>
          <w:lang w:val="zh-TW"/>
        </w:rPr>
        <w:t>本文件给出了中餐的术语和定义，确立了中餐的分类原则，给出了中餐的分类。</w:t>
      </w:r>
    </w:p>
    <w:p w14:paraId="6DD1FCA2">
      <w:pPr>
        <w:pStyle w:val="10"/>
        <w:spacing w:line="360" w:lineRule="auto"/>
        <w:ind w:firstLine="480"/>
        <w:rPr>
          <w:rFonts w:hAnsi="宋体" w:cs="宋体"/>
          <w:kern w:val="2"/>
          <w:sz w:val="24"/>
          <w:szCs w:val="24"/>
          <w:u w:color="000000"/>
          <w:lang w:val="zh-TW"/>
        </w:rPr>
      </w:pPr>
      <w:r>
        <w:rPr>
          <w:rFonts w:hAnsi="宋体" w:cs="宋体"/>
          <w:kern w:val="2"/>
          <w:sz w:val="24"/>
          <w:szCs w:val="24"/>
          <w:u w:color="000000"/>
          <w:lang w:val="zh-TW"/>
        </w:rPr>
        <w:t>本文件适用于中餐行业及海外中餐。</w:t>
      </w:r>
    </w:p>
    <w:p w14:paraId="2BD5D561">
      <w:pPr>
        <w:framePr w:wrap="auto" w:vAnchor="margin" w:hAnchor="text" w:yAlign="inline"/>
        <w:spacing w:line="360" w:lineRule="auto"/>
        <w:ind w:firstLine="482"/>
        <w:rPr>
          <w:rFonts w:hint="default" w:ascii="宋体" w:hAnsi="宋体" w:eastAsia="宋体" w:cs="宋体"/>
          <w:b/>
          <w:bCs/>
          <w:kern w:val="0"/>
          <w:sz w:val="24"/>
          <w:szCs w:val="24"/>
          <w:lang w:val="zh-TW" w:eastAsia="zh-TW"/>
        </w:rPr>
      </w:pPr>
      <w:r>
        <w:rPr>
          <w:rFonts w:ascii="宋体" w:hAnsi="宋体" w:eastAsia="宋体" w:cs="宋体"/>
          <w:b/>
          <w:bCs/>
          <w:kern w:val="0"/>
          <w:sz w:val="24"/>
          <w:szCs w:val="24"/>
          <w:lang w:val="zh-TW" w:eastAsia="zh-TW"/>
        </w:rPr>
        <w:t>五、标准的水平</w:t>
      </w:r>
    </w:p>
    <w:p w14:paraId="4567ADC0">
      <w:pPr>
        <w:pStyle w:val="10"/>
        <w:spacing w:line="360" w:lineRule="auto"/>
        <w:ind w:firstLine="480"/>
        <w:rPr>
          <w:rFonts w:hAnsi="宋体" w:cs="宋体"/>
          <w:kern w:val="2"/>
          <w:sz w:val="24"/>
          <w:szCs w:val="24"/>
          <w:u w:color="000000"/>
          <w:lang w:val="zh-TW"/>
        </w:rPr>
      </w:pPr>
      <w:r>
        <w:rPr>
          <w:rFonts w:hAnsi="宋体" w:cs="宋体"/>
          <w:kern w:val="2"/>
          <w:sz w:val="24"/>
          <w:szCs w:val="24"/>
          <w:u w:color="000000"/>
          <w:lang w:val="zh-TW"/>
        </w:rPr>
        <w:t>本标准系自主制定项目。目前国际上尚无专门针对中餐术语与分类的国际标准，国内亦无同类基础性标准，本标准在系统性和规范性上高于国外同类做法，在覆盖范围、分类体系、文化内涵体现等方面具有创新性和先进性，居国内领先水平，并具备向国际标准转化的潜力。</w:t>
      </w:r>
    </w:p>
    <w:p w14:paraId="35816B7A">
      <w:pPr>
        <w:framePr w:wrap="auto" w:vAnchor="margin" w:hAnchor="text" w:yAlign="inline"/>
        <w:spacing w:line="360" w:lineRule="auto"/>
        <w:ind w:firstLine="482"/>
        <w:rPr>
          <w:rFonts w:hint="default" w:ascii="宋体" w:hAnsi="宋体" w:eastAsia="宋体" w:cs="宋体"/>
          <w:b/>
          <w:bCs/>
          <w:kern w:val="0"/>
          <w:sz w:val="24"/>
          <w:szCs w:val="24"/>
          <w:lang w:val="zh-TW" w:eastAsia="zh-TW"/>
        </w:rPr>
      </w:pPr>
      <w:r>
        <w:rPr>
          <w:rFonts w:ascii="宋体" w:hAnsi="宋体" w:eastAsia="宋体" w:cs="宋体"/>
          <w:b/>
          <w:bCs/>
          <w:kern w:val="0"/>
          <w:sz w:val="24"/>
          <w:szCs w:val="24"/>
          <w:lang w:val="zh-TW" w:eastAsia="zh-TW"/>
        </w:rPr>
        <w:t>六、与有关的现行法律、法规和强制性国家标准的关系</w:t>
      </w:r>
    </w:p>
    <w:p w14:paraId="41050129">
      <w:pPr>
        <w:pStyle w:val="10"/>
        <w:spacing w:line="360" w:lineRule="auto"/>
        <w:ind w:firstLine="480"/>
        <w:rPr>
          <w:rFonts w:hAnsi="宋体" w:cs="宋体"/>
          <w:kern w:val="2"/>
          <w:sz w:val="24"/>
          <w:szCs w:val="24"/>
          <w:u w:color="000000"/>
          <w:lang w:val="zh-TW"/>
        </w:rPr>
      </w:pPr>
      <w:r>
        <w:rPr>
          <w:rFonts w:hAnsi="宋体" w:cs="宋体"/>
          <w:kern w:val="2"/>
          <w:sz w:val="24"/>
          <w:szCs w:val="24"/>
          <w:u w:color="000000"/>
          <w:lang w:val="zh-TW"/>
        </w:rPr>
        <w:t>本标准符合国家现行法律、法规、规章和强制性国家标准的要求。按GB/T 1.1-2020《标准化工作导则 第1部分：标准化文件的结构和起草规则》规定进行编写，与其它相关标准没有矛盾和抵触。</w:t>
      </w:r>
    </w:p>
    <w:p w14:paraId="780A5390">
      <w:pPr>
        <w:framePr w:wrap="auto" w:vAnchor="margin" w:hAnchor="text" w:yAlign="inline"/>
        <w:spacing w:line="360" w:lineRule="auto"/>
        <w:ind w:firstLine="482"/>
        <w:rPr>
          <w:rFonts w:hint="default" w:ascii="宋体" w:hAnsi="宋体" w:eastAsia="宋体" w:cs="宋体"/>
          <w:b/>
          <w:bCs/>
          <w:kern w:val="0"/>
          <w:sz w:val="24"/>
          <w:szCs w:val="24"/>
          <w:lang w:val="zh-TW" w:eastAsia="zh-TW"/>
        </w:rPr>
      </w:pPr>
      <w:r>
        <w:rPr>
          <w:rFonts w:ascii="宋体" w:hAnsi="宋体" w:eastAsia="宋体" w:cs="宋体"/>
          <w:b/>
          <w:bCs/>
          <w:kern w:val="0"/>
          <w:sz w:val="24"/>
          <w:szCs w:val="24"/>
          <w:lang w:val="zh-TW" w:eastAsia="zh-TW"/>
        </w:rPr>
        <w:t>七、贯彻标准的要求和措施建议</w:t>
      </w:r>
    </w:p>
    <w:p w14:paraId="49E21B50">
      <w:pPr>
        <w:pStyle w:val="10"/>
        <w:spacing w:line="360" w:lineRule="auto"/>
        <w:ind w:firstLine="480"/>
        <w:rPr>
          <w:rFonts w:hAnsi="宋体" w:cs="宋体"/>
          <w:kern w:val="2"/>
          <w:sz w:val="24"/>
          <w:szCs w:val="24"/>
          <w:u w:color="000000"/>
          <w:lang w:val="zh-TW"/>
        </w:rPr>
      </w:pPr>
      <w:r>
        <w:rPr>
          <w:rFonts w:hAnsi="宋体" w:cs="宋体"/>
          <w:kern w:val="2"/>
          <w:sz w:val="24"/>
          <w:szCs w:val="24"/>
          <w:u w:color="000000"/>
          <w:lang w:val="zh-TW"/>
        </w:rPr>
        <w:t>该标准的主要起草单位将通过以下措施推动标准的贯彻实施：</w:t>
      </w:r>
    </w:p>
    <w:p w14:paraId="02C83AA2">
      <w:pPr>
        <w:pStyle w:val="10"/>
        <w:spacing w:line="360" w:lineRule="auto"/>
        <w:ind w:firstLine="480"/>
        <w:rPr>
          <w:rFonts w:hAnsi="宋体" w:cs="宋体"/>
          <w:kern w:val="2"/>
          <w:sz w:val="24"/>
          <w:szCs w:val="24"/>
          <w:u w:color="000000"/>
          <w:lang w:val="zh-TW"/>
        </w:rPr>
      </w:pPr>
      <w:r>
        <w:rPr>
          <w:rFonts w:hAnsi="宋体" w:cs="宋体"/>
          <w:kern w:val="2"/>
          <w:sz w:val="24"/>
          <w:szCs w:val="24"/>
          <w:u w:color="000000"/>
          <w:lang w:val="zh-TW"/>
        </w:rPr>
        <w:t>1.发布与宣贯：在行业会议上正式发布标准；编写标准宣贯材料和术语解读手册，依托行业协会、烹饪院校和媒体开展宣贯培训；利用起草单位主办的餐饮专业期刊开设宣贯专栏，刊发术语解读文章。</w:t>
      </w:r>
    </w:p>
    <w:p w14:paraId="567E1877">
      <w:pPr>
        <w:pStyle w:val="10"/>
        <w:spacing w:line="360" w:lineRule="auto"/>
        <w:ind w:firstLine="480"/>
        <w:rPr>
          <w:rFonts w:hAnsi="宋体" w:cs="宋体"/>
          <w:kern w:val="2"/>
          <w:sz w:val="24"/>
          <w:szCs w:val="24"/>
          <w:u w:color="000000"/>
          <w:lang w:val="zh-TW"/>
        </w:rPr>
      </w:pPr>
      <w:r>
        <w:rPr>
          <w:rFonts w:hAnsi="宋体" w:cs="宋体"/>
          <w:kern w:val="2"/>
          <w:sz w:val="24"/>
          <w:szCs w:val="24"/>
          <w:u w:color="000000"/>
          <w:lang w:val="zh-TW"/>
        </w:rPr>
        <w:t>2.试点与对接：联合参与起草单位在会员单位中开展试点应用，重点在菜单规范、教材使用和连锁企业信息系统中落地；推动与外卖平台、餐饮管理系统的菜品分类对接；推动标准术语进入烹饪院校教材和职业技能等级认定考核内容；与其他餐饮相关标准起草组建立术语协调机制。</w:t>
      </w:r>
    </w:p>
    <w:p w14:paraId="3F34BB11">
      <w:pPr>
        <w:pStyle w:val="10"/>
        <w:spacing w:line="360" w:lineRule="auto"/>
        <w:ind w:firstLine="480"/>
        <w:rPr>
          <w:rFonts w:hAnsi="宋体" w:cs="宋体"/>
          <w:kern w:val="2"/>
          <w:sz w:val="24"/>
          <w:szCs w:val="24"/>
          <w:u w:color="000000"/>
          <w:lang w:val="zh-TW"/>
        </w:rPr>
      </w:pPr>
      <w:r>
        <w:rPr>
          <w:rFonts w:hAnsi="宋体" w:cs="宋体"/>
          <w:kern w:val="2"/>
          <w:sz w:val="24"/>
          <w:szCs w:val="24"/>
          <w:u w:color="000000"/>
          <w:lang w:val="zh-TW"/>
        </w:rPr>
        <w:t>3.评估与拓展：开展标准实施效果评估，设立反馈渠道，收集术语增补和分类调整意见，建立术语动态维护机制，为标准复审修订积累数据；同步启动英文译本编译，适时向国际标准化相关渠道推介，推动中餐术语国际化；在团体标准实施成熟后，适时申报行业标准或国家标准。</w:t>
      </w:r>
      <w:bookmarkStart w:id="0" w:name="_GoBack"/>
      <w:bookmarkEnd w:id="0"/>
    </w:p>
    <w:p w14:paraId="24E16FBC">
      <w:pPr>
        <w:framePr w:wrap="auto" w:vAnchor="margin" w:hAnchor="text" w:yAlign="inline"/>
        <w:spacing w:line="360" w:lineRule="auto"/>
        <w:ind w:firstLine="482"/>
        <w:rPr>
          <w:rFonts w:hint="default" w:ascii="宋体" w:hAnsi="宋体" w:eastAsia="宋体" w:cs="宋体"/>
          <w:b/>
          <w:bCs/>
          <w:kern w:val="0"/>
          <w:sz w:val="24"/>
          <w:szCs w:val="24"/>
          <w:lang w:val="zh-TW"/>
        </w:rPr>
      </w:pPr>
      <w:r>
        <w:rPr>
          <w:rFonts w:ascii="宋体" w:hAnsi="宋体" w:eastAsia="宋体" w:cs="宋体"/>
          <w:b/>
          <w:bCs/>
          <w:kern w:val="0"/>
          <w:sz w:val="24"/>
          <w:szCs w:val="24"/>
          <w:lang w:val="zh-TW" w:eastAsia="zh-TW"/>
        </w:rPr>
        <w:t>八、标准实施的预期效果</w:t>
      </w:r>
    </w:p>
    <w:p w14:paraId="1A3CFC5F">
      <w:pPr>
        <w:framePr w:wrap="auto" w:vAnchor="margin" w:hAnchor="text" w:yAlign="inline"/>
        <w:spacing w:line="360" w:lineRule="auto"/>
        <w:ind w:firstLine="480"/>
        <w:rPr>
          <w:rFonts w:hint="default" w:ascii="宋体" w:hAnsi="宋体" w:eastAsia="宋体" w:cs="宋体"/>
          <w:color w:val="auto"/>
          <w:sz w:val="24"/>
          <w:szCs w:val="24"/>
          <w:lang w:val="zh-TW"/>
        </w:rPr>
      </w:pPr>
      <w:r>
        <w:rPr>
          <w:rFonts w:ascii="宋体" w:hAnsi="宋体" w:eastAsia="宋体" w:cs="宋体"/>
          <w:color w:val="auto"/>
          <w:sz w:val="24"/>
          <w:szCs w:val="24"/>
          <w:lang w:val="zh-TW" w:eastAsia="zh-TW"/>
        </w:rPr>
        <w:t>本标准系统构建了中餐术语体系和分类框架，预期实施效果主要体现在以下方面：一是统一行业语言，解决同名异义、异名同义、技法名称混乱等问题，为餐饮行业监管、统计、标准化工作提供统一的术语基础，为菜单明示、预制菜明示、过敏原提示等消费信息公开提供规范表述；二是支撑产业数字化升级，统一的中餐术语和分类有助于餐饮电商平台、外卖平台、供应链管理系统实现菜品数据的标准化和互联互通，推动中餐从"经验型"向"标准化"转型；三是服务职业教育与学术研究，为烹饪院校教材编写、教学考核、职业技能培训与等级认定以及饮食文化研究提供基础工具；四是助力中餐国际传播，为海外中餐企业的菜单翻译、品牌推广和文化传播提供规范化表达依据，服务于中餐外译、国际烹饪赛事和中餐文化对外推广活动，提升中华饮食文化的国际影响力。</w:t>
      </w:r>
    </w:p>
    <w:p w14:paraId="4A84A00A">
      <w:pPr>
        <w:framePr w:wrap="auto" w:vAnchor="margin" w:hAnchor="text" w:yAlign="inline"/>
        <w:spacing w:line="360" w:lineRule="auto"/>
        <w:ind w:firstLine="480"/>
        <w:rPr>
          <w:rFonts w:hint="default"/>
          <w:color w:val="FF0000"/>
        </w:rPr>
      </w:pPr>
    </w:p>
    <w:sectPr>
      <w:headerReference r:id="rId9" w:type="default"/>
      <w:footerReference r:id="rId10" w:type="default"/>
      <w:pgSz w:w="11900" w:h="16840"/>
      <w:pgMar w:top="1440" w:right="1800" w:bottom="1440" w:left="1800" w:header="851" w:footer="992"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20B0604020202020204"/>
    <w:charset w:val="80"/>
    <w:family w:val="swiss"/>
    <w:pitch w:val="default"/>
    <w:sig w:usb0="00000000" w:usb1="00000000" w:usb2="0000003F" w:usb3="00000000" w:csb0="003F01FF" w:csb1="00000000"/>
  </w:font>
  <w:font w:name="Helvetica Neue">
    <w:altName w:val="Times New Roman"/>
    <w:panose1 w:val="02000503000000020004"/>
    <w:charset w:val="00"/>
    <w:family w:val="auto"/>
    <w:pitch w:val="default"/>
    <w:sig w:usb0="00000000" w:usb1="00000000" w:usb2="00000010" w:usb3="00000000" w:csb0="00000001" w:csb1="00000000"/>
  </w:font>
  <w:font w:name="PMingLiU">
    <w:altName w:val="PMingLiU-ExtB"/>
    <w:panose1 w:val="02020500000000000000"/>
    <w:charset w:val="88"/>
    <w:family w:val="roman"/>
    <w:pitch w:val="default"/>
    <w:sig w:usb0="00000000" w:usb1="00000000" w:usb2="00000016" w:usb3="00000000" w:csb0="00100001" w:csb1="00000000"/>
  </w:font>
  <w:font w:name="PMingLiU">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987E8EC0">
    <w:panose1 w:val="020B0704020202020204"/>
    <w:charset w:val="86"/>
    <w:family w:val="auto"/>
    <w:pitch w:val="default"/>
    <w:sig w:usb0="00000001" w:usb1="00000000" w:usb2="00000000" w:usb3="00000000" w:csb0="003E0001" w:csb1="00000000"/>
  </w:font>
  <w:font w:name="PMingLiU-ExtB">
    <w:panose1 w:val="02020500000000000000"/>
    <w:charset w:val="88"/>
    <w:family w:val="auto"/>
    <w:pitch w:val="default"/>
    <w:sig w:usb0="8000002F" w:usb1="02000008" w:usb2="00000000" w:usb3="00000000" w:csb0="0010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0F519">
    <w:pPr>
      <w:pStyle w:val="3"/>
      <w:framePr w:wrap="auto" w:vAnchor="margin" w:hAnchor="text" w:yAlign="inline"/>
      <w:tabs>
        <w:tab w:val="right" w:pos="8280"/>
        <w:tab w:val="clear"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2FD1E">
    <w:pPr>
      <w:pStyle w:val="3"/>
      <w:framePr w:wrap="aroun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03870">
    <w:pPr>
      <w:pStyle w:val="3"/>
      <w:framePr w:wrap="aroun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5330A">
    <w:pPr>
      <w:pStyle w:val="3"/>
      <w:framePr w:wrap="auto" w:vAnchor="margin" w:hAnchor="text" w:yAlign="inline"/>
      <w:tabs>
        <w:tab w:val="right" w:pos="8280"/>
        <w:tab w:val="clear" w:pos="8306"/>
      </w:tabs>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13323">
    <w:pPr>
      <w:pStyle w:val="12"/>
      <w:framePr w:wrap="auto" w:vAnchor="margin" w:hAnchor="text" w:yAlign="inline"/>
    </w:pPr>
    <w:r>
      <mc:AlternateContent>
        <mc:Choice Requires="wps">
          <w:drawing>
            <wp:anchor distT="152400" distB="152400" distL="152400" distR="152400" simplePos="0" relativeHeight="251659264" behindDoc="1" locked="0" layoutInCell="1" allowOverlap="1">
              <wp:simplePos x="0" y="0"/>
              <wp:positionH relativeFrom="page">
                <wp:posOffset>3750945</wp:posOffset>
              </wp:positionH>
              <wp:positionV relativeFrom="page">
                <wp:posOffset>9833610</wp:posOffset>
              </wp:positionV>
              <wp:extent cx="57785" cy="131445"/>
              <wp:effectExtent l="0" t="0" r="0" b="0"/>
              <wp:wrapNone/>
              <wp:docPr id="1" name="officeArt object" descr="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2700" cap="flat">
                        <a:noFill/>
                        <a:miter lim="400000"/>
                      </a:ln>
                      <a:effectLst/>
                    </wps:spPr>
                    <wps:txbx>
                      <w:txbxContent>
                        <w:p w14:paraId="17F8023B">
                          <w:pPr>
                            <w:pStyle w:val="3"/>
                          </w:pPr>
                          <w:r>
                            <w:fldChar w:fldCharType="begin"/>
                          </w:r>
                          <w:r>
                            <w:instrText xml:space="preserve"> PAGE </w:instrText>
                          </w:r>
                          <w:r>
                            <w:fldChar w:fldCharType="separate"/>
                          </w:r>
                          <w:r>
                            <w:t>3</w:t>
                          </w:r>
                          <w:r>
                            <w:fldChar w:fldCharType="end"/>
                          </w:r>
                        </w:p>
                      </w:txbxContent>
                    </wps:txbx>
                    <wps:bodyPr wrap="square" lIns="0" tIns="0" rIns="0" bIns="0" numCol="1" anchor="t">
                      <a:noAutofit/>
                    </wps:bodyPr>
                  </wps:wsp>
                </a:graphicData>
              </a:graphic>
            </wp:anchor>
          </w:drawing>
        </mc:Choice>
        <mc:Fallback>
          <w:pict>
            <v:shape id="officeArt object" o:spid="_x0000_s1026" o:spt="202" alt="文本框 1" type="#_x0000_t202" style="position:absolute;left:0pt;margin-left:295.35pt;margin-top:774.3pt;height:10.35pt;width:4.55pt;mso-position-horizontal-relative:page;mso-position-vertical-relative:page;z-index:-251657216;mso-width-relative:page;mso-height-relative:page;" filled="f" stroked="f" coordsize="21600,21600" o:gfxdata="UEsDBAoAAAAAAIdO4kAAAAAAAAAAAAAAAAAEAAAAZHJzL1BLAwQUAAAACACHTuJAyVNUGNoAAAAN&#10;AQAADwAAAGRycy9kb3ducmV2LnhtbE2PzU7DMBCE70i8g7VI3KjTQkIT4vQAQkJQIaVw4LiNlyQi&#10;Xkex+/f2bE9w3JlPszPl6ugGtacp9J4NzGcJKOLG255bA58fzzdLUCEiWxw8k4ETBVhVlxclFtYf&#10;uKb9JrZKQjgUaKCLcSy0Dk1HDsPMj8TiffvJYZRzarWd8CDhbtCLJMm0w57lQ4cjPXbU/Gx2zsBr&#10;jes3rNOF712wXy/6/fTkyZjrq3nyACrSMf7BcK4v1aGSTlu/YxvUYCDNk3tBxUjvlhkoQdI8lzXb&#10;s5Tlt6CrUv9fUf0CUEsDBBQAAAAIAIdO4kBoGCiJAwIAAPUDAAAOAAAAZHJzL2Uyb0RvYy54bWyt&#10;U82O0zAQviPxDpbvNElp6SpqulqoFiEhQFp4ANexGyPbY2y3SV8A3oATF+48V5+DcX66q+WyB3Jw&#10;xuPxN/N9+bK+7owmR+GDAlvRYpZTIiyHWtl9Rb98vn1xRUmIzNZMgxUVPYlArzfPn61bV4o5NKBr&#10;4QmC2FC2rqJNjK7MssAbYViYgRMWDyV4wyJu/T6rPWsR3ehsnuevshZ87TxwEQJmt8MhHRH9UwBB&#10;SsXFFvjBCBsHVC80i0gpNMoFuumnlVLw+FHKICLRFUWmsV+xCca7tGabNSv3nrlG8XEE9pQRHnEy&#10;TFlseoHassjIwat/oIziHgLIOONgsoFIrwiyKPJH2tw1zImeC0od3EX08P9g+YfjJ09UjU6gxDKD&#10;H3wY6sZHAruvKCAltQgcNTv//HH+9ef8+zspkm6tCyVev3MIELvX0CWMMR8wmeTopDfpjZgEz1H1&#10;00V10UXCMblcra6WlHA8KV4Wi8UygWT3d50P8a0AQ1JQUZ9GSpjs+D7EoXQqSWkLt0przLNSW9Ii&#10;6HyVY2PO0KwSTdJfflBlVERDa2UqusjTM/bXNmGI3kRjp0R5oJai2O26ke8O6hPK0KKRKhq+HZgX&#10;lOh3Fr9Uct0U+CnYTYE9mDeA3kT1meUNoMzTgDeHCFL1DFO3oQUqkzbohl6j0bnJbg/3fdX937r5&#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lTVBjaAAAADQEAAA8AAAAAAAAAAQAgAAAAIgAAAGRy&#10;cy9kb3ducmV2LnhtbFBLAQIUABQAAAAIAIdO4kBoGCiJAwIAAPUDAAAOAAAAAAAAAAEAIAAAACkB&#10;AABkcnMvZTJvRG9jLnhtbFBLBQYAAAAABgAGAFkBAACeBQAAAAA=&#10;">
              <v:fill on="f" focussize="0,0"/>
              <v:stroke on="f" weight="1pt" miterlimit="4" joinstyle="miter"/>
              <v:imagedata o:title=""/>
              <o:lock v:ext="edit" aspectratio="f"/>
              <v:textbox inset="0mm,0mm,0mm,0mm">
                <w:txbxContent>
                  <w:p w14:paraId="17F8023B">
                    <w:pPr>
                      <w:pStyle w:val="3"/>
                    </w:pPr>
                    <w:r>
                      <w:fldChar w:fldCharType="begin"/>
                    </w:r>
                    <w:r>
                      <w:instrText xml:space="preserve"> PAGE </w:instrText>
                    </w:r>
                    <w:r>
                      <w:fldChar w:fldCharType="separate"/>
                    </w:r>
                    <w:r>
                      <w:t>3</w:t>
                    </w:r>
                    <w:r>
                      <w:fldChar w:fldCharType="end"/>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B5C1D">
    <w:pPr>
      <w:pStyle w:val="4"/>
      <w:framePr w:wrap="around"/>
      <w:rPr>
        <w:rFonts w:hint="defau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123C9">
    <w:pPr>
      <w:pStyle w:val="4"/>
      <w:framePr w:wrap="around"/>
      <w:rPr>
        <w:rFonts w:hint="default"/>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DAD8B">
    <w:pPr>
      <w:pStyle w:val="12"/>
      <w:framePr w:wrap="auto" w:vAnchor="margin" w:hAnchor="text" w:yAlign="inline"/>
    </w:pPr>
    <w:r>
      <mc:AlternateContent>
        <mc:Choice Requires="wps">
          <w:drawing>
            <wp:anchor distT="152400" distB="152400" distL="152400" distR="152400" simplePos="0" relativeHeight="251660288" behindDoc="1" locked="0" layoutInCell="1" allowOverlap="1">
              <wp:simplePos x="0" y="0"/>
              <wp:positionH relativeFrom="page">
                <wp:posOffset>3750945</wp:posOffset>
              </wp:positionH>
              <wp:positionV relativeFrom="page">
                <wp:posOffset>9833610</wp:posOffset>
              </wp:positionV>
              <wp:extent cx="57785" cy="131445"/>
              <wp:effectExtent l="0" t="0" r="0" b="0"/>
              <wp:wrapNone/>
              <wp:docPr id="1073741825" name="officeArt object" descr="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2700" cap="flat">
                        <a:noFill/>
                        <a:miter lim="400000"/>
                      </a:ln>
                      <a:effectLst/>
                    </wps:spPr>
                    <wps:txbx>
                      <w:txbxContent>
                        <w:p w14:paraId="0F6A3C88">
                          <w:pPr>
                            <w:pStyle w:val="3"/>
                          </w:pPr>
                          <w:r>
                            <w:fldChar w:fldCharType="begin"/>
                          </w:r>
                          <w:r>
                            <w:instrText xml:space="preserve"> PAGE </w:instrText>
                          </w:r>
                          <w:r>
                            <w:fldChar w:fldCharType="separate"/>
                          </w:r>
                          <w:r>
                            <w:t>3</w:t>
                          </w:r>
                          <w:r>
                            <w:fldChar w:fldCharType="end"/>
                          </w:r>
                        </w:p>
                      </w:txbxContent>
                    </wps:txbx>
                    <wps:bodyPr wrap="square" lIns="0" tIns="0" rIns="0" bIns="0" numCol="1" anchor="t">
                      <a:noAutofit/>
                    </wps:bodyPr>
                  </wps:wsp>
                </a:graphicData>
              </a:graphic>
            </wp:anchor>
          </w:drawing>
        </mc:Choice>
        <mc:Fallback>
          <w:pict>
            <v:shape id="officeArt object" o:spid="_x0000_s1026" o:spt="202" alt="文本框 1" type="#_x0000_t202" style="position:absolute;left:0pt;margin-left:295.35pt;margin-top:774.3pt;height:10.35pt;width:4.55pt;mso-position-horizontal-relative:page;mso-position-vertical-relative:page;z-index:-251656192;mso-width-relative:page;mso-height-relative:page;" filled="f" stroked="f" coordsize="21600,21600" o:gfxdata="UEsDBAoAAAAAAIdO4kAAAAAAAAAAAAAAAAAEAAAAZHJzL1BLAwQUAAAACACHTuJAyVNUGNoAAAAN&#10;AQAADwAAAGRycy9kb3ducmV2LnhtbE2PzU7DMBCE70i8g7VI3KjTQkIT4vQAQkJQIaVw4LiNlyQi&#10;Xkex+/f2bE9w3JlPszPl6ugGtacp9J4NzGcJKOLG255bA58fzzdLUCEiWxw8k4ETBVhVlxclFtYf&#10;uKb9JrZKQjgUaKCLcSy0Dk1HDsPMj8TiffvJYZRzarWd8CDhbtCLJMm0w57lQ4cjPXbU/Gx2zsBr&#10;jes3rNOF712wXy/6/fTkyZjrq3nyACrSMf7BcK4v1aGSTlu/YxvUYCDNk3tBxUjvlhkoQdI8lzXb&#10;s5Tlt6CrUv9fUf0CUEsDBBQAAAAIAIdO4kD3xA4gCgIAAP4DAAAOAAAAZHJzL2Uyb0RvYy54bWyt&#10;U82O0zAQviPxDpbvNEm3pVXVdLVQLUJCgLTwAK5jN0a2x9huk74AvAEnLnvnufocjPPTXS2XPZBD&#10;Mh6Pv5nv85f1dWs0OQofFNiSFpOcEmE5VMruS/r1y+2rJSUhMlsxDVaU9CQCvd68fLFu3EpMoQZd&#10;CU8QxIZV40pax+hWWRZ4LQwLE3DC4qYEb1jEpd9nlWcNohudTfP8ddaAr5wHLkLA7LbfpAOifw4g&#10;SKm42AI/GGFjj+qFZhEphVq5QDfdtFIKHj9JGUQkuqTINHZvbILxLr2zzZqt9p65WvFhBPacEZ5w&#10;MkxZbHqB2rLIyMGrf6CM4h4CyDjhYLKeSKcIsijyJ9rc1cyJjgtKHdxF9PD/YPnH42dPVIVOyBdX&#10;i1mxnM4psczgzffT3fhIYPcNlaSkEoGjeOdfP8+//5zvf5AiCdi4sEKcO4dIsX0DLYKN+YDJpEsr&#10;vUlfxCS4j/KfLvKLNhKOyfliscTmHHeKq2I2myeQ7OGs8yG+E2BICkrq00gJkx0/hNiXjiUpbeFW&#10;ad1dsLakQdDpIsfGnKFrJbqlO/yoyqiIztbKlHSWp2for22CE52bhk6Jck8tRbHdtYMOO6hOKEOD&#10;jipp+H5gXlCi31u8smS/MfBjsBsDezBvAU1aUMIsrwFlHge8OUSQqmOYuvUtUJm0QFt0Gg0WTr57&#10;vO6qHn7bzV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JU1QY2gAAAA0BAAAPAAAAAAAAAAEAIAAA&#10;ACIAAABkcnMvZG93bnJldi54bWxQSwECFAAUAAAACACHTuJA98QOIAoCAAD+AwAADgAAAAAAAAAB&#10;ACAAAAApAQAAZHJzL2Uyb0RvYy54bWxQSwUGAAAAAAYABgBZAQAApQUAAAAA&#10;">
              <v:fill on="f" focussize="0,0"/>
              <v:stroke on="f" weight="1pt" miterlimit="4" joinstyle="miter"/>
              <v:imagedata o:title=""/>
              <o:lock v:ext="edit" aspectratio="f"/>
              <v:textbox inset="0mm,0mm,0mm,0mm">
                <w:txbxContent>
                  <w:p w14:paraId="0F6A3C88">
                    <w:pPr>
                      <w:pStyle w:val="3"/>
                    </w:pPr>
                    <w:r>
                      <w:fldChar w:fldCharType="begin"/>
                    </w:r>
                    <w:r>
                      <w:instrText xml:space="preserve"> PAGE </w:instrText>
                    </w:r>
                    <w:r>
                      <w:fldChar w:fldCharType="separate"/>
                    </w:r>
                    <w:r>
                      <w:t>3</w:t>
                    </w:r>
                    <w: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91163"/>
    <w:multiLevelType w:val="multilevel"/>
    <w:tmpl w:val="1FC91163"/>
    <w:lvl w:ilvl="0" w:tentative="0">
      <w:start w:val="1"/>
      <w:numFmt w:val="decimal"/>
      <w:pStyle w:val="9"/>
      <w:suff w:val="nothing"/>
      <w:lvlText w:val="%1　"/>
      <w:lvlJc w:val="left"/>
      <w:pPr>
        <w:ind w:left="0" w:firstLine="0"/>
      </w:pPr>
      <w:rPr>
        <w:rFonts w:hint="eastAsia" w:ascii="黑体" w:hAnsi="Times New Roman" w:eastAsia="黑体"/>
        <w:b w:val="0"/>
        <w:i w:val="0"/>
        <w:sz w:val="21"/>
        <w:szCs w:val="21"/>
      </w:rPr>
    </w:lvl>
    <w:lvl w:ilvl="1" w:tentative="0">
      <w:start w:val="1"/>
      <w:numFmt w:val="decimal"/>
      <w:suff w:val="nothing"/>
      <w:lvlText w:val="%1.%2　"/>
      <w:lvlJc w:val="left"/>
      <w:pPr>
        <w:ind w:left="425" w:firstLine="0"/>
      </w:pPr>
      <w:rPr>
        <w:rFonts w:hint="eastAsia" w:ascii="黑体" w:hAnsi="Times New Roman" w:eastAsia="黑体" w:cs="Times New Roman"/>
        <w:b w:val="0"/>
        <w:bCs w:val="0"/>
        <w:i w:val="0"/>
        <w:iCs w:val="0"/>
        <w:caps w:val="0"/>
        <w:strike w:val="0"/>
        <w:dstrike w:val="0"/>
        <w:vanish w:val="0"/>
        <w:color w:val="800000"/>
        <w:spacing w:val="0"/>
        <w:kern w:val="0"/>
        <w:position w:val="0"/>
        <w:sz w:val="21"/>
        <w:szCs w:val="21"/>
        <w:u w:val="none"/>
        <w:vertAlign w:val="baseline"/>
      </w:rPr>
    </w:lvl>
    <w:lvl w:ilvl="2" w:tentative="0">
      <w:start w:val="1"/>
      <w:numFmt w:val="decimal"/>
      <w:suff w:val="nothing"/>
      <w:lvlText w:val="%1.%2.%3　"/>
      <w:lvlJc w:val="left"/>
      <w:pPr>
        <w:ind w:left="2268"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37C542B2"/>
    <w:multiLevelType w:val="multilevel"/>
    <w:tmpl w:val="37C542B2"/>
    <w:lvl w:ilvl="0" w:tentative="0">
      <w:start w:val="1"/>
      <w:numFmt w:val="japaneseCounting"/>
      <w:lvlText w:val="%1、"/>
      <w:lvlJc w:val="left"/>
      <w:pPr>
        <w:ind w:left="992" w:hanging="510"/>
      </w:pPr>
      <w:rPr>
        <w:rFonts w:hint="default" w:eastAsia="宋体"/>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3"/>
  <w:displayBackgroundShape w:val="1"/>
  <w:bordersDoNotSurroundHeader w:val="1"/>
  <w:bordersDoNotSurroundFooter w:val="1"/>
  <w:documentProtection w:enforcement="0"/>
  <w:defaultTabStop w:val="420"/>
  <w:characterSpacingControl w:val="doNotCompress"/>
  <w:compat>
    <w:useFELayout/>
    <w:compatSetting w:name="compatibilityMode" w:uri="http://schemas.microsoft.com/office/word" w:val="14"/>
  </w:compat>
  <w:docVars>
    <w:docVar w:name="commondata" w:val="eyJoZGlkIjoiZmFhOTEwOTA4M2RhMmU1NGE4Zjg4ZmY1NTkwZWFmMjUifQ=="/>
  </w:docVars>
  <w:rsids>
    <w:rsidRoot w:val="001C1971"/>
    <w:rsid w:val="0000007A"/>
    <w:rsid w:val="00001B5B"/>
    <w:rsid w:val="00010B53"/>
    <w:rsid w:val="000117FA"/>
    <w:rsid w:val="00015ECA"/>
    <w:rsid w:val="000212F5"/>
    <w:rsid w:val="00021F88"/>
    <w:rsid w:val="00023AB0"/>
    <w:rsid w:val="00035B6D"/>
    <w:rsid w:val="00037A2E"/>
    <w:rsid w:val="00050AEC"/>
    <w:rsid w:val="000711C6"/>
    <w:rsid w:val="00082FF1"/>
    <w:rsid w:val="00084859"/>
    <w:rsid w:val="000905AB"/>
    <w:rsid w:val="00094129"/>
    <w:rsid w:val="000B3167"/>
    <w:rsid w:val="000C006E"/>
    <w:rsid w:val="000F45D3"/>
    <w:rsid w:val="000F71FA"/>
    <w:rsid w:val="00102875"/>
    <w:rsid w:val="00117100"/>
    <w:rsid w:val="00136DC2"/>
    <w:rsid w:val="001445DA"/>
    <w:rsid w:val="001B38C5"/>
    <w:rsid w:val="001C1971"/>
    <w:rsid w:val="001D6C23"/>
    <w:rsid w:val="00204F84"/>
    <w:rsid w:val="00215DD7"/>
    <w:rsid w:val="002512F2"/>
    <w:rsid w:val="00264B72"/>
    <w:rsid w:val="002663D9"/>
    <w:rsid w:val="002665EC"/>
    <w:rsid w:val="0027384C"/>
    <w:rsid w:val="0028709D"/>
    <w:rsid w:val="00295751"/>
    <w:rsid w:val="002B4CE6"/>
    <w:rsid w:val="002D4343"/>
    <w:rsid w:val="002F0B8B"/>
    <w:rsid w:val="002F3AA6"/>
    <w:rsid w:val="002F3F3E"/>
    <w:rsid w:val="003000FC"/>
    <w:rsid w:val="0030564F"/>
    <w:rsid w:val="0031319C"/>
    <w:rsid w:val="0035380E"/>
    <w:rsid w:val="00377697"/>
    <w:rsid w:val="00382F9E"/>
    <w:rsid w:val="00391E44"/>
    <w:rsid w:val="00392AF6"/>
    <w:rsid w:val="0039677A"/>
    <w:rsid w:val="003A0FD7"/>
    <w:rsid w:val="003B30F9"/>
    <w:rsid w:val="003C6A3F"/>
    <w:rsid w:val="003C6F12"/>
    <w:rsid w:val="003D652D"/>
    <w:rsid w:val="004005B0"/>
    <w:rsid w:val="004240F0"/>
    <w:rsid w:val="00435909"/>
    <w:rsid w:val="00453F8D"/>
    <w:rsid w:val="004B46F1"/>
    <w:rsid w:val="004B56C3"/>
    <w:rsid w:val="004D05EE"/>
    <w:rsid w:val="004D285A"/>
    <w:rsid w:val="00500731"/>
    <w:rsid w:val="00525B9B"/>
    <w:rsid w:val="00545F9C"/>
    <w:rsid w:val="00546C9F"/>
    <w:rsid w:val="00550AA3"/>
    <w:rsid w:val="00555768"/>
    <w:rsid w:val="0056294D"/>
    <w:rsid w:val="0059365C"/>
    <w:rsid w:val="005A22AA"/>
    <w:rsid w:val="005A6EF5"/>
    <w:rsid w:val="005B13B2"/>
    <w:rsid w:val="005E13DB"/>
    <w:rsid w:val="005F7B08"/>
    <w:rsid w:val="00605F70"/>
    <w:rsid w:val="006123BD"/>
    <w:rsid w:val="00647AAD"/>
    <w:rsid w:val="00651365"/>
    <w:rsid w:val="00666AC0"/>
    <w:rsid w:val="00695C8A"/>
    <w:rsid w:val="006A4054"/>
    <w:rsid w:val="006A5904"/>
    <w:rsid w:val="006D28E6"/>
    <w:rsid w:val="006E4EB5"/>
    <w:rsid w:val="006E7F2E"/>
    <w:rsid w:val="00713B38"/>
    <w:rsid w:val="00716D2A"/>
    <w:rsid w:val="00720891"/>
    <w:rsid w:val="00753EC9"/>
    <w:rsid w:val="00763765"/>
    <w:rsid w:val="0078590B"/>
    <w:rsid w:val="00791143"/>
    <w:rsid w:val="007A6EC1"/>
    <w:rsid w:val="007C78B9"/>
    <w:rsid w:val="007D7840"/>
    <w:rsid w:val="007F7367"/>
    <w:rsid w:val="00844A75"/>
    <w:rsid w:val="00852083"/>
    <w:rsid w:val="00872310"/>
    <w:rsid w:val="008A1E38"/>
    <w:rsid w:val="008D1A07"/>
    <w:rsid w:val="008D7C93"/>
    <w:rsid w:val="008E73B2"/>
    <w:rsid w:val="00903D18"/>
    <w:rsid w:val="009078BB"/>
    <w:rsid w:val="0092426D"/>
    <w:rsid w:val="0092709E"/>
    <w:rsid w:val="00942D39"/>
    <w:rsid w:val="00951C47"/>
    <w:rsid w:val="009618BF"/>
    <w:rsid w:val="0096218D"/>
    <w:rsid w:val="00964B16"/>
    <w:rsid w:val="009936AB"/>
    <w:rsid w:val="009A2906"/>
    <w:rsid w:val="009A514C"/>
    <w:rsid w:val="009B4725"/>
    <w:rsid w:val="009C08DA"/>
    <w:rsid w:val="009C333D"/>
    <w:rsid w:val="009D2E05"/>
    <w:rsid w:val="009F19C0"/>
    <w:rsid w:val="00A14861"/>
    <w:rsid w:val="00A22E73"/>
    <w:rsid w:val="00A329F7"/>
    <w:rsid w:val="00A369F1"/>
    <w:rsid w:val="00A56255"/>
    <w:rsid w:val="00A7221A"/>
    <w:rsid w:val="00A72D65"/>
    <w:rsid w:val="00A76DB0"/>
    <w:rsid w:val="00A8721A"/>
    <w:rsid w:val="00AB3BB6"/>
    <w:rsid w:val="00AE5E92"/>
    <w:rsid w:val="00B0520A"/>
    <w:rsid w:val="00B154D0"/>
    <w:rsid w:val="00B33BF1"/>
    <w:rsid w:val="00B33E19"/>
    <w:rsid w:val="00B3497B"/>
    <w:rsid w:val="00B45AE7"/>
    <w:rsid w:val="00B5017B"/>
    <w:rsid w:val="00BD5AD5"/>
    <w:rsid w:val="00C01246"/>
    <w:rsid w:val="00C149D5"/>
    <w:rsid w:val="00C223EE"/>
    <w:rsid w:val="00C50B12"/>
    <w:rsid w:val="00C50F3C"/>
    <w:rsid w:val="00C731C6"/>
    <w:rsid w:val="00C870A4"/>
    <w:rsid w:val="00C923B3"/>
    <w:rsid w:val="00CA213A"/>
    <w:rsid w:val="00CD3464"/>
    <w:rsid w:val="00CE51C9"/>
    <w:rsid w:val="00D20D5B"/>
    <w:rsid w:val="00D27D69"/>
    <w:rsid w:val="00D418D7"/>
    <w:rsid w:val="00D42091"/>
    <w:rsid w:val="00D42375"/>
    <w:rsid w:val="00D8210E"/>
    <w:rsid w:val="00D92B72"/>
    <w:rsid w:val="00D92D8A"/>
    <w:rsid w:val="00D9431E"/>
    <w:rsid w:val="00DA1793"/>
    <w:rsid w:val="00DB3344"/>
    <w:rsid w:val="00DC0655"/>
    <w:rsid w:val="00DD1545"/>
    <w:rsid w:val="00DF5A59"/>
    <w:rsid w:val="00E045F4"/>
    <w:rsid w:val="00E20101"/>
    <w:rsid w:val="00E21072"/>
    <w:rsid w:val="00E223F5"/>
    <w:rsid w:val="00E42EA4"/>
    <w:rsid w:val="00E476F5"/>
    <w:rsid w:val="00E563E8"/>
    <w:rsid w:val="00E66352"/>
    <w:rsid w:val="00E86919"/>
    <w:rsid w:val="00E95A59"/>
    <w:rsid w:val="00EA0E6F"/>
    <w:rsid w:val="00EA45A0"/>
    <w:rsid w:val="00EB7D2E"/>
    <w:rsid w:val="00ED4542"/>
    <w:rsid w:val="00ED6663"/>
    <w:rsid w:val="00EE0D56"/>
    <w:rsid w:val="00EE2BFC"/>
    <w:rsid w:val="00EF578C"/>
    <w:rsid w:val="00F06039"/>
    <w:rsid w:val="00F10349"/>
    <w:rsid w:val="00F23359"/>
    <w:rsid w:val="00F379DE"/>
    <w:rsid w:val="00F4411B"/>
    <w:rsid w:val="00F52EE6"/>
    <w:rsid w:val="00F60ACD"/>
    <w:rsid w:val="00F707BF"/>
    <w:rsid w:val="00F770A2"/>
    <w:rsid w:val="00F91175"/>
    <w:rsid w:val="00F92653"/>
    <w:rsid w:val="00FB455B"/>
    <w:rsid w:val="00FF13AC"/>
    <w:rsid w:val="00FF5149"/>
    <w:rsid w:val="0445367A"/>
    <w:rsid w:val="062D0592"/>
    <w:rsid w:val="06907B34"/>
    <w:rsid w:val="0C6B2020"/>
    <w:rsid w:val="0CEF76F2"/>
    <w:rsid w:val="18370BC0"/>
    <w:rsid w:val="1E8D27EC"/>
    <w:rsid w:val="22942FA3"/>
    <w:rsid w:val="23BE4D1F"/>
    <w:rsid w:val="24AC5E86"/>
    <w:rsid w:val="25215D4A"/>
    <w:rsid w:val="2DD66AA1"/>
    <w:rsid w:val="3D9910E3"/>
    <w:rsid w:val="48580610"/>
    <w:rsid w:val="488A4EC3"/>
    <w:rsid w:val="4C5F21E2"/>
    <w:rsid w:val="505731CA"/>
    <w:rsid w:val="536C2A87"/>
    <w:rsid w:val="556E3DBC"/>
    <w:rsid w:val="5B401FAF"/>
    <w:rsid w:val="5F9E2B48"/>
    <w:rsid w:val="67626A39"/>
    <w:rsid w:val="6C3D64DF"/>
    <w:rsid w:val="748108E0"/>
    <w:rsid w:val="791974F6"/>
    <w:rsid w:val="7DDB6D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framePr w:wrap="around" w:vAnchor="margin" w:hAnchor="text" w:y="1"/>
      <w:widowControl w:val="0"/>
      <w:jc w:val="both"/>
    </w:pPr>
    <w:rPr>
      <w:rFonts w:hint="eastAsia" w:ascii="Arial Unicode MS" w:hAnsi="Arial Unicode MS" w:eastAsia="Times New Roman" w:cs="Arial Unicode MS"/>
      <w:color w:val="000000"/>
      <w:kern w:val="2"/>
      <w:sz w:val="21"/>
      <w:szCs w:val="21"/>
      <w:u w:color="000000"/>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16"/>
    <w:semiHidden/>
    <w:unhideWhenUsed/>
    <w:uiPriority w:val="0"/>
    <w:pPr>
      <w:framePr w:wrap="around"/>
      <w:ind w:left="100" w:leftChars="2500"/>
    </w:pPr>
  </w:style>
  <w:style w:type="paragraph" w:styleId="3">
    <w:name w:val="footer"/>
    <w:qFormat/>
    <w:uiPriority w:val="0"/>
    <w:pPr>
      <w:framePr w:wrap="around" w:vAnchor="margin" w:hAnchor="text" w:y="1"/>
      <w:widowControl w:val="0"/>
      <w:tabs>
        <w:tab w:val="center" w:pos="4153"/>
        <w:tab w:val="right" w:pos="8306"/>
      </w:tabs>
    </w:pPr>
    <w:rPr>
      <w:rFonts w:ascii="Times New Roman" w:hAnsi="Times New Roman" w:eastAsia="Arial Unicode MS" w:cs="Arial Unicode MS"/>
      <w:color w:val="000000"/>
      <w:kern w:val="2"/>
      <w:sz w:val="18"/>
      <w:szCs w:val="18"/>
      <w:u w:color="000000"/>
      <w:lang w:val="en-US" w:eastAsia="zh-CN" w:bidi="ar-SA"/>
    </w:rPr>
  </w:style>
  <w:style w:type="paragraph" w:styleId="4">
    <w:name w:val="header"/>
    <w:basedOn w:val="1"/>
    <w:link w:val="14"/>
    <w:qFormat/>
    <w:uiPriority w:val="0"/>
    <w:pPr>
      <w:framePr w:wrap="around"/>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framePr w:wrap="around"/>
    </w:pPr>
    <w:rPr>
      <w:sz w:val="24"/>
    </w:rPr>
  </w:style>
  <w:style w:type="character" w:styleId="8">
    <w:name w:val="Hyperlink"/>
    <w:qFormat/>
    <w:uiPriority w:val="0"/>
    <w:rPr>
      <w:u w:val="single"/>
    </w:rPr>
  </w:style>
  <w:style w:type="paragraph" w:customStyle="1" w:styleId="9">
    <w:name w:val="章标题"/>
    <w:next w:val="10"/>
    <w:qFormat/>
    <w:uiPriority w:val="0"/>
    <w:pPr>
      <w:numPr>
        <w:ilvl w:val="0"/>
        <w:numId w:val="1"/>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10">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table" w:customStyle="1" w:styleId="11">
    <w:name w:val="Table Normal"/>
    <w:qFormat/>
    <w:uiPriority w:val="0"/>
    <w:tblPr>
      <w:tblCellMar>
        <w:top w:w="0" w:type="dxa"/>
        <w:left w:w="0" w:type="dxa"/>
        <w:bottom w:w="0" w:type="dxa"/>
        <w:right w:w="0" w:type="dxa"/>
      </w:tblCellMar>
    </w:tblPr>
  </w:style>
  <w:style w:type="paragraph" w:customStyle="1" w:styleId="12">
    <w:name w:val="页眉与页脚"/>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13">
    <w:name w:val="列出段落1"/>
    <w:qFormat/>
    <w:uiPriority w:val="0"/>
    <w:pPr>
      <w:framePr w:wrap="around" w:vAnchor="margin" w:hAnchor="text" w:y="1"/>
      <w:widowControl w:val="0"/>
      <w:ind w:firstLine="420"/>
      <w:jc w:val="both"/>
    </w:pPr>
    <w:rPr>
      <w:rFonts w:hint="eastAsia" w:ascii="Arial Unicode MS" w:hAnsi="Arial Unicode MS" w:eastAsia="Times New Roman" w:cs="Arial Unicode MS"/>
      <w:color w:val="000000"/>
      <w:kern w:val="2"/>
      <w:sz w:val="21"/>
      <w:szCs w:val="21"/>
      <w:u w:color="000000"/>
      <w:lang w:val="en-US" w:eastAsia="zh-CN" w:bidi="ar-SA"/>
    </w:rPr>
  </w:style>
  <w:style w:type="character" w:customStyle="1" w:styleId="14">
    <w:name w:val="页眉 字符"/>
    <w:basedOn w:val="7"/>
    <w:link w:val="4"/>
    <w:qFormat/>
    <w:uiPriority w:val="0"/>
    <w:rPr>
      <w:rFonts w:ascii="Arial Unicode MS" w:hAnsi="Arial Unicode MS" w:eastAsia="Times New Roman" w:cs="Arial Unicode MS"/>
      <w:color w:val="000000"/>
      <w:kern w:val="2"/>
      <w:sz w:val="18"/>
      <w:szCs w:val="18"/>
      <w:u w:color="000000"/>
    </w:rPr>
  </w:style>
  <w:style w:type="paragraph" w:customStyle="1" w:styleId="15">
    <w:name w:val="列表段落1"/>
    <w:basedOn w:val="1"/>
    <w:qFormat/>
    <w:uiPriority w:val="99"/>
    <w:pPr>
      <w:framePr w:wrap="around"/>
      <w:ind w:firstLine="420" w:firstLineChars="200"/>
    </w:pPr>
  </w:style>
  <w:style w:type="character" w:customStyle="1" w:styleId="16">
    <w:name w:val="日期 字符"/>
    <w:basedOn w:val="7"/>
    <w:link w:val="2"/>
    <w:semiHidden/>
    <w:uiPriority w:val="0"/>
    <w:rPr>
      <w:rFonts w:ascii="Arial Unicode MS" w:hAnsi="Arial Unicode MS" w:eastAsia="Times New Roman" w:cs="Arial Unicode MS"/>
      <w:color w:val="000000"/>
      <w:kern w:val="2"/>
      <w:sz w:val="21"/>
      <w:szCs w:val="21"/>
      <w:u w:color="000000"/>
    </w:rPr>
  </w:style>
  <w:style w:type="paragraph" w:styleId="17">
    <w:name w:val="List Paragraph"/>
    <w:basedOn w:val="1"/>
    <w:unhideWhenUsed/>
    <w:uiPriority w:val="99"/>
    <w:pPr>
      <w:framePr w:wrap="around"/>
      <w:ind w:firstLine="420" w:firstLineChars="200"/>
    </w:pPr>
  </w:style>
  <w:style w:type="paragraph" w:customStyle="1" w:styleId="18">
    <w:name w:val="Revision"/>
    <w:hidden/>
    <w:unhideWhenUsed/>
    <w:uiPriority w:val="99"/>
    <w:rPr>
      <w:rFonts w:hint="eastAsia" w:ascii="Arial Unicode MS" w:hAnsi="Arial Unicode MS" w:eastAsia="Times New Roman" w:cs="Arial Unicode MS"/>
      <w:color w:val="000000"/>
      <w:kern w:val="2"/>
      <w:sz w:val="21"/>
      <w:szCs w:val="21"/>
      <w:u w:color="00000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主题​​">
      <a:majorFont>
        <a:latin typeface="Helvetica Neue"/>
        <a:ea typeface="黑体"/>
        <a:cs typeface="Helvetica Neue"/>
      </a:majorFont>
      <a:minorFont>
        <a:latin typeface="Helvetica Neue"/>
        <a:ea typeface="宋体"/>
        <a:cs typeface="Helvetica Neue"/>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spPr>
      <a:bodyPr rot="0" spcFirstLastPara="1" vertOverflow="overflow" horzOverflow="overflow" vert="horz" wrap="square" lIns="45719" tIns="45719" rIns="45719" bIns="45719" numCol="1" spcCol="38100" rtlCol="0" anchor="ctr">
        <a:spAutoFit/>
      </a:bodyPr>
      <a:lstStyle/>
      <a:style>
        <a:lnRef idx="0">
          <a:srgbClr val="FFFFFF"/>
        </a:lnRef>
        <a:fillRef idx="0">
          <a:srgbClr val="FFFFFF"/>
        </a:fillRef>
        <a:effectRef idx="0">
          <a:srgbClr val="FFFFFF"/>
        </a:effectRef>
        <a:fontRef idx="none"/>
      </a:style>
    </a:spDef>
    <a:lnDef>
      <a:spPr>
        <a:noFill/>
        <a:ln w="12700" cap="flat">
          <a:solidFill>
            <a:schemeClr val="accent1"/>
          </a:solidFill>
          <a:prstDash val="solid"/>
          <a:miter lim="800000"/>
        </a:ln>
      </a:spPr>
      <a:bodyPr rot="0" spcFirstLastPara="1" vertOverflow="overflow" horzOverflow="overflow" vert="horz" wrap="square" lIns="91439" tIns="45719" rIns="91439" bIns="45719" numCol="1" spcCol="38100" rtlCol="0" anchor="t">
        <a:noAutofit/>
      </a:bodyPr>
      <a:lstStyle/>
      <a:style>
        <a:lnRef idx="0">
          <a:srgbClr val="FFFFFF"/>
        </a:lnRef>
        <a:fillRef idx="0">
          <a:srgbClr val="FFFFFF"/>
        </a:fillRef>
        <a:effectRef idx="0">
          <a:srgbClr val="FFFFFF"/>
        </a:effectRef>
        <a:fontRef idx="none"/>
      </a:style>
    </a:lnDef>
    <a:txDef>
      <a:spPr>
        <a:noFill/>
        <a:ln w="12700" cap="flat">
          <a:noFill/>
          <a:miter lim="400000"/>
        </a:ln>
      </a:spPr>
      <a:bodyPr rot="0" spcFirstLastPara="1" vertOverflow="overflow" horzOverflow="overflow" vert="horz" wrap="square" lIns="45719" tIns="45719" rIns="45719" bIns="45719" numCol="1" spcCol="38100" rtlCol="0" anchor="t">
        <a:spAutoFit/>
      </a:bodyPr>
      <a:lstStyle/>
      <a:style>
        <a:lnRef idx="0">
          <a:srgbClr val="FFFFFF"/>
        </a:lnRef>
        <a:fillRef idx="0">
          <a:srgbClr val="FFFFFF"/>
        </a:fillRef>
        <a:effectRef idx="0">
          <a:srgbClr val="FFFFFF"/>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5</Pages>
  <Words>3042</Words>
  <Characters>3121</Characters>
  <Lines>22</Lines>
  <Paragraphs>6</Paragraphs>
  <TotalTime>56</TotalTime>
  <ScaleCrop>false</ScaleCrop>
  <LinksUpToDate>false</LinksUpToDate>
  <CharactersWithSpaces>3126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2019-03-19T02:01:00Z</dcterms:created>
  <dc:creator>HP</dc:creator>
  <cp:lastModifiedBy>Eric C</cp:lastModifiedBy>
  <cp:lastPrinted>2019-06-17T03:57:00Z</cp:lastPrinted>
  <dcterms:modified xsi:type="dcterms:W3CDTF">2026-11-05T01:39:21Z</dcterms:modified>
  <cp:revision>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6510EF55D6CF4620B44ADA31DC824795_13</vt:lpwstr>
  </property>
  <property fmtid="{D5CDD505-2E9C-101B-9397-08002B2CF9AE}" pid="4" name="KSOTemplateDocerSaveRecord">
    <vt:lpwstr>eyJoZGlkIjoiZTY4NDVhYWEzMjBjZjUzOTdlNjQ4MWM4MjY3ZmZlYTkiLCJ1c2VySWQiOiIzOTg2NjE0MTMifQ==</vt:lpwstr>
  </property>
</Properties>
</file>