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B60B26F"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17AA08CB"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71201D9F"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781D60B5"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1A13FB03" w14:textId="77777777" w:rsidR="002E40AF" w:rsidRDefault="00000000">
      <w:pPr>
        <w:framePr w:wrap="auto" w:yAlign="inline"/>
        <w:spacing w:beforeLines="50" w:before="120" w:afterLines="50" w:after="120" w:line="300" w:lineRule="auto"/>
        <w:jc w:val="center"/>
        <w:outlineLvl w:val="0"/>
        <w:rPr>
          <w:rFonts w:ascii="黑体" w:eastAsia="黑体" w:hAnsi="黑体" w:cs="宋体" w:hint="default"/>
          <w:sz w:val="48"/>
          <w:szCs w:val="48"/>
          <w:lang w:val="zh-TW"/>
        </w:rPr>
      </w:pPr>
      <w:r>
        <w:rPr>
          <w:rFonts w:ascii="黑体" w:eastAsia="黑体" w:hAnsi="黑体" w:cs="宋体"/>
          <w:sz w:val="48"/>
          <w:szCs w:val="48"/>
          <w:lang w:val="zh-TW"/>
        </w:rPr>
        <w:t>《</w:t>
      </w:r>
      <w:r>
        <w:rPr>
          <w:rFonts w:ascii="黑体" w:eastAsia="黑体" w:hAnsi="黑体" w:cs="宋体"/>
          <w:sz w:val="48"/>
          <w:szCs w:val="48"/>
        </w:rPr>
        <w:t>共享经济ESG指南</w:t>
      </w:r>
      <w:r>
        <w:rPr>
          <w:rFonts w:ascii="黑体" w:eastAsia="黑体" w:hAnsi="黑体" w:cs="宋体"/>
          <w:sz w:val="48"/>
          <w:szCs w:val="48"/>
          <w:lang w:val="zh-TW"/>
        </w:rPr>
        <w:t>》</w:t>
      </w:r>
    </w:p>
    <w:p w14:paraId="0B91744A" w14:textId="77777777" w:rsidR="002E40AF" w:rsidRDefault="00000000">
      <w:pPr>
        <w:framePr w:wrap="auto" w:yAlign="inline"/>
        <w:spacing w:beforeLines="50" w:before="120" w:afterLines="50" w:after="120" w:line="300" w:lineRule="auto"/>
        <w:jc w:val="center"/>
        <w:outlineLvl w:val="0"/>
        <w:rPr>
          <w:rFonts w:ascii="黑体" w:eastAsia="黑体" w:hAnsi="黑体" w:cs="宋体" w:hint="default"/>
          <w:sz w:val="48"/>
          <w:szCs w:val="48"/>
          <w:lang w:val="zh-TW"/>
        </w:rPr>
      </w:pPr>
      <w:r>
        <w:rPr>
          <w:rFonts w:ascii="黑体" w:eastAsia="黑体" w:hAnsi="黑体" w:cs="宋体"/>
          <w:sz w:val="48"/>
          <w:szCs w:val="48"/>
          <w:lang w:val="zh-TW"/>
        </w:rPr>
        <w:t>团体标准编制说明</w:t>
      </w:r>
    </w:p>
    <w:p w14:paraId="6626F852" w14:textId="77777777" w:rsidR="002E40AF" w:rsidRDefault="00000000">
      <w:pPr>
        <w:framePr w:wrap="auto" w:yAlign="inline"/>
        <w:spacing w:beforeLines="50" w:before="120" w:afterLines="50" w:after="120" w:line="300" w:lineRule="auto"/>
        <w:jc w:val="center"/>
        <w:outlineLvl w:val="0"/>
        <w:rPr>
          <w:rFonts w:ascii="黑体" w:eastAsia="黑体" w:hAnsi="黑体" w:cs="宋体" w:hint="default"/>
          <w:sz w:val="48"/>
          <w:szCs w:val="48"/>
          <w:lang w:val="zh-TW"/>
        </w:rPr>
      </w:pPr>
      <w:r>
        <w:rPr>
          <w:rFonts w:ascii="黑体" w:eastAsia="黑体" w:hAnsi="黑体" w:cs="宋体"/>
          <w:sz w:val="48"/>
          <w:szCs w:val="48"/>
          <w:lang w:val="zh-TW"/>
        </w:rPr>
        <w:t>（</w:t>
      </w:r>
      <w:r>
        <w:rPr>
          <w:rFonts w:ascii="黑体" w:eastAsia="黑体" w:hAnsi="黑体" w:cs="宋体"/>
          <w:sz w:val="48"/>
          <w:szCs w:val="48"/>
        </w:rPr>
        <w:t>征求意见</w:t>
      </w:r>
      <w:r>
        <w:rPr>
          <w:rFonts w:ascii="黑体" w:eastAsia="黑体" w:hAnsi="黑体" w:cs="宋体"/>
          <w:sz w:val="48"/>
          <w:szCs w:val="48"/>
          <w:lang w:val="zh-TW"/>
        </w:rPr>
        <w:t>稿）</w:t>
      </w:r>
    </w:p>
    <w:p w14:paraId="00115FE6"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3598A291"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3BA16E5E" w14:textId="77777777" w:rsidR="002E40AF" w:rsidRDefault="002E40AF">
      <w:pPr>
        <w:framePr w:wrap="auto" w:yAlign="inline"/>
        <w:spacing w:beforeLines="50" w:before="120" w:afterLines="50" w:after="120" w:line="300" w:lineRule="auto"/>
        <w:outlineLvl w:val="0"/>
        <w:rPr>
          <w:rFonts w:ascii="宋体" w:eastAsia="宋体" w:hAnsi="宋体" w:cs="宋体" w:hint="default"/>
          <w:b/>
          <w:bCs/>
          <w:sz w:val="48"/>
          <w:szCs w:val="48"/>
          <w:lang w:val="zh-TW"/>
        </w:rPr>
      </w:pPr>
    </w:p>
    <w:p w14:paraId="3B13DD85" w14:textId="77777777" w:rsidR="002E40AF" w:rsidRDefault="002E40AF">
      <w:pPr>
        <w:framePr w:wrap="auto" w:yAlign="inline"/>
        <w:spacing w:beforeLines="50" w:before="120" w:afterLines="50" w:after="120" w:line="300" w:lineRule="auto"/>
        <w:outlineLvl w:val="0"/>
        <w:rPr>
          <w:rFonts w:ascii="宋体" w:eastAsia="宋体" w:hAnsi="宋体" w:cs="宋体" w:hint="default"/>
          <w:b/>
          <w:bCs/>
          <w:sz w:val="48"/>
          <w:szCs w:val="48"/>
          <w:lang w:val="zh-TW"/>
        </w:rPr>
      </w:pPr>
    </w:p>
    <w:p w14:paraId="04261B33" w14:textId="77777777" w:rsidR="002E40AF" w:rsidRDefault="002E40AF">
      <w:pPr>
        <w:framePr w:wrap="auto" w:yAlign="inline"/>
        <w:spacing w:beforeLines="50" w:before="120" w:afterLines="50" w:after="120" w:line="300" w:lineRule="auto"/>
        <w:jc w:val="center"/>
        <w:outlineLvl w:val="0"/>
        <w:rPr>
          <w:rFonts w:ascii="宋体" w:eastAsia="宋体" w:hAnsi="宋体" w:cs="宋体" w:hint="default"/>
          <w:b/>
          <w:bCs/>
          <w:sz w:val="48"/>
          <w:szCs w:val="48"/>
          <w:lang w:val="zh-TW"/>
        </w:rPr>
      </w:pPr>
    </w:p>
    <w:p w14:paraId="44EE2BE0" w14:textId="77777777" w:rsidR="002E40AF" w:rsidRDefault="00000000">
      <w:pPr>
        <w:framePr w:wrap="auto" w:yAlign="inline"/>
        <w:spacing w:beforeLines="50" w:before="120" w:afterLines="50" w:after="120" w:line="300" w:lineRule="auto"/>
        <w:jc w:val="center"/>
        <w:outlineLvl w:val="0"/>
        <w:rPr>
          <w:rFonts w:ascii="宋体" w:eastAsia="宋体" w:hAnsi="宋体" w:cs="宋体" w:hint="default"/>
          <w:b/>
          <w:bCs/>
          <w:sz w:val="28"/>
          <w:szCs w:val="28"/>
          <w:lang w:val="zh-TW"/>
        </w:rPr>
      </w:pPr>
      <w:r>
        <w:rPr>
          <w:rFonts w:ascii="宋体" w:eastAsia="宋体" w:hAnsi="宋体" w:cs="宋体" w:hint="cs"/>
          <w:b/>
          <w:bCs/>
          <w:sz w:val="28"/>
          <w:szCs w:val="28"/>
          <w:lang w:val="zh-TW"/>
        </w:rPr>
        <w:t>中国国际贸易促进委员会商业行业委员会</w:t>
      </w:r>
    </w:p>
    <w:p w14:paraId="0015FAA2" w14:textId="308A4B37" w:rsidR="002E40AF" w:rsidRDefault="00000000">
      <w:pPr>
        <w:framePr w:wrap="auto" w:yAlign="inline"/>
        <w:spacing w:beforeLines="50" w:before="120" w:afterLines="50" w:after="120" w:line="300" w:lineRule="auto"/>
        <w:jc w:val="center"/>
        <w:outlineLvl w:val="0"/>
        <w:rPr>
          <w:rFonts w:ascii="宋体" w:eastAsia="宋体" w:hAnsi="宋体" w:cs="宋体" w:hint="default"/>
          <w:sz w:val="28"/>
          <w:szCs w:val="28"/>
          <w:lang w:val="zh-TW" w:eastAsia="zh-TW"/>
        </w:rPr>
      </w:pPr>
      <w:r>
        <w:rPr>
          <w:rFonts w:ascii="宋体" w:eastAsia="宋体" w:hAnsi="宋体" w:cs="宋体"/>
          <w:sz w:val="28"/>
          <w:szCs w:val="28"/>
          <w:lang w:val="zh-TW" w:eastAsia="zh-TW"/>
        </w:rPr>
        <w:t>二〇</w:t>
      </w:r>
      <w:r>
        <w:rPr>
          <w:rFonts w:ascii="宋体" w:eastAsia="宋体" w:hAnsi="宋体" w:cs="宋体"/>
          <w:sz w:val="28"/>
          <w:szCs w:val="28"/>
        </w:rPr>
        <w:t>二六</w:t>
      </w:r>
      <w:r>
        <w:rPr>
          <w:rFonts w:ascii="宋体" w:eastAsia="宋体" w:hAnsi="宋体" w:cs="宋体"/>
          <w:sz w:val="28"/>
          <w:szCs w:val="28"/>
          <w:lang w:val="zh-TW" w:eastAsia="zh-TW"/>
        </w:rPr>
        <w:t>年</w:t>
      </w:r>
      <w:r w:rsidR="007A4B64">
        <w:rPr>
          <w:rFonts w:ascii="宋体" w:eastAsia="宋体" w:hAnsi="宋体" w:cs="宋体"/>
          <w:sz w:val="28"/>
          <w:szCs w:val="28"/>
        </w:rPr>
        <w:t>八</w:t>
      </w:r>
      <w:r>
        <w:rPr>
          <w:rFonts w:ascii="宋体" w:eastAsia="宋体" w:hAnsi="宋体" w:cs="宋体"/>
          <w:sz w:val="28"/>
          <w:szCs w:val="28"/>
          <w:lang w:val="zh-TW" w:eastAsia="zh-TW"/>
        </w:rPr>
        <w:t>月</w:t>
      </w:r>
      <w:r w:rsidR="007A4B64">
        <w:rPr>
          <w:rFonts w:ascii="宋体" w:eastAsia="宋体" w:hAnsi="宋体" w:cs="宋体"/>
          <w:sz w:val="28"/>
          <w:szCs w:val="28"/>
        </w:rPr>
        <w:t>十</w:t>
      </w:r>
      <w:r>
        <w:rPr>
          <w:rFonts w:ascii="宋体" w:eastAsia="宋体" w:hAnsi="宋体" w:cs="宋体"/>
          <w:sz w:val="28"/>
          <w:szCs w:val="28"/>
          <w:lang w:val="zh-TW" w:eastAsia="zh-TW"/>
        </w:rPr>
        <w:t>日</w:t>
      </w:r>
    </w:p>
    <w:p w14:paraId="663CCC8D" w14:textId="77777777" w:rsidR="002E40AF" w:rsidRDefault="002E40AF">
      <w:pPr>
        <w:framePr w:wrap="auto" w:yAlign="inline"/>
        <w:spacing w:line="300" w:lineRule="auto"/>
        <w:jc w:val="center"/>
        <w:outlineLvl w:val="0"/>
        <w:rPr>
          <w:rFonts w:ascii="宋体" w:eastAsia="宋体" w:hAnsi="宋体" w:cs="宋体" w:hint="default"/>
          <w:b/>
          <w:bCs/>
          <w:sz w:val="32"/>
          <w:szCs w:val="32"/>
          <w:lang w:val="zh-TW" w:eastAsia="zh-TW"/>
        </w:rPr>
        <w:sectPr w:rsidR="002E40AF">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851" w:footer="992" w:gutter="0"/>
          <w:pgNumType w:start="1"/>
          <w:cols w:space="720"/>
        </w:sectPr>
      </w:pPr>
    </w:p>
    <w:p w14:paraId="458023CD" w14:textId="77777777" w:rsidR="002E40AF" w:rsidRDefault="00000000">
      <w:pPr>
        <w:framePr w:wrap="auto" w:yAlign="inline"/>
        <w:spacing w:line="300" w:lineRule="auto"/>
        <w:jc w:val="center"/>
        <w:outlineLvl w:val="0"/>
        <w:rPr>
          <w:rFonts w:hint="default"/>
          <w:b/>
          <w:bCs/>
          <w:sz w:val="32"/>
          <w:szCs w:val="32"/>
          <w:lang w:val="zh-TW"/>
        </w:rPr>
      </w:pPr>
      <w:r>
        <w:rPr>
          <w:rFonts w:ascii="宋体" w:eastAsia="宋体" w:hAnsi="宋体" w:cs="宋体" w:hint="cs"/>
          <w:b/>
          <w:bCs/>
          <w:sz w:val="32"/>
          <w:szCs w:val="32"/>
          <w:lang w:val="zh-TW"/>
        </w:rPr>
        <w:lastRenderedPageBreak/>
        <w:t>《</w:t>
      </w:r>
      <w:r>
        <w:rPr>
          <w:rFonts w:ascii="宋体" w:eastAsia="宋体" w:hAnsi="宋体" w:cs="宋体"/>
          <w:b/>
          <w:bCs/>
          <w:sz w:val="32"/>
          <w:szCs w:val="32"/>
        </w:rPr>
        <w:t>共享经济ESG指南</w:t>
      </w:r>
      <w:r>
        <w:rPr>
          <w:rFonts w:ascii="宋体" w:eastAsia="宋体" w:hAnsi="宋体" w:cs="宋体" w:hint="cs"/>
          <w:b/>
          <w:bCs/>
          <w:sz w:val="32"/>
          <w:szCs w:val="32"/>
          <w:lang w:val="zh-TW"/>
        </w:rPr>
        <w:t>》</w:t>
      </w:r>
      <w:r>
        <w:rPr>
          <w:rFonts w:ascii="宋体" w:eastAsia="宋体" w:hAnsi="宋体" w:cs="宋体"/>
          <w:b/>
          <w:bCs/>
          <w:sz w:val="32"/>
          <w:szCs w:val="32"/>
          <w:lang w:val="zh-TW"/>
        </w:rPr>
        <w:t>团体标准编制说明</w:t>
      </w:r>
    </w:p>
    <w:p w14:paraId="5FEA4A22" w14:textId="77777777" w:rsidR="002E40AF" w:rsidRDefault="002E40AF">
      <w:pPr>
        <w:framePr w:wrap="auto" w:yAlign="inline"/>
        <w:spacing w:line="360" w:lineRule="auto"/>
        <w:ind w:firstLine="482"/>
        <w:rPr>
          <w:rFonts w:ascii="宋体" w:eastAsia="宋体" w:hAnsi="宋体" w:cs="宋体" w:hint="default"/>
          <w:b/>
          <w:bCs/>
          <w:kern w:val="0"/>
          <w:sz w:val="24"/>
          <w:szCs w:val="24"/>
        </w:rPr>
      </w:pPr>
    </w:p>
    <w:p w14:paraId="3A2AF250" w14:textId="77777777" w:rsidR="002E40AF" w:rsidRDefault="00000000">
      <w:pPr>
        <w:pStyle w:val="1"/>
        <w:framePr w:wrap="auto" w:yAlign="inline"/>
        <w:numPr>
          <w:ilvl w:val="0"/>
          <w:numId w:val="2"/>
        </w:numPr>
        <w:spacing w:line="360" w:lineRule="auto"/>
        <w:rPr>
          <w:rFonts w:ascii="宋体" w:eastAsia="PMingLiU" w:hAnsi="宋体" w:cs="宋体"/>
          <w:b/>
          <w:bCs/>
          <w:color w:val="auto"/>
          <w:kern w:val="0"/>
          <w:sz w:val="24"/>
          <w:szCs w:val="24"/>
          <w:u w:color="0000FF"/>
          <w:lang w:val="zh-TW" w:eastAsia="zh-TW"/>
        </w:rPr>
      </w:pPr>
      <w:r>
        <w:rPr>
          <w:rFonts w:ascii="宋体" w:eastAsia="宋体" w:hAnsi="宋体" w:cs="宋体"/>
          <w:b/>
          <w:bCs/>
          <w:color w:val="auto"/>
          <w:kern w:val="0"/>
          <w:sz w:val="24"/>
          <w:szCs w:val="24"/>
          <w:u w:color="0000FF"/>
          <w:lang w:val="zh-TW" w:eastAsia="zh-TW"/>
        </w:rPr>
        <w:t>标准项目来源</w:t>
      </w:r>
    </w:p>
    <w:p w14:paraId="1C9EB97C" w14:textId="77777777" w:rsidR="002E40AF" w:rsidRDefault="00000000">
      <w:pPr>
        <w:framePr w:wrap="auto" w:yAlign="inline"/>
        <w:spacing w:line="360" w:lineRule="auto"/>
        <w:ind w:firstLine="480"/>
        <w:rPr>
          <w:rFonts w:ascii="宋体" w:eastAsia="宋体" w:hAnsi="宋体" w:cs="宋体" w:hint="default"/>
          <w:color w:val="auto"/>
          <w:sz w:val="24"/>
          <w:szCs w:val="24"/>
          <w:lang w:val="zh-TW" w:eastAsia="zh-TW"/>
        </w:rPr>
      </w:pPr>
      <w:r>
        <w:rPr>
          <w:rFonts w:ascii="宋体" w:eastAsia="宋体" w:hAnsi="宋体" w:cs="宋体"/>
          <w:color w:val="auto"/>
          <w:sz w:val="24"/>
          <w:szCs w:val="24"/>
          <w:lang w:val="zh-TW" w:eastAsia="zh-TW"/>
        </w:rPr>
        <w:t>本项目由中国石油天然气股份有限公司规划总院提出，由中国国际贸易促进委员会商业行业委员会归口并组织制定。项目列入中国贸促会商业行业委员会202</w:t>
      </w:r>
      <w:r>
        <w:rPr>
          <w:rFonts w:ascii="宋体" w:eastAsia="宋体" w:hAnsi="宋体" w:cs="宋体"/>
          <w:color w:val="auto"/>
          <w:sz w:val="24"/>
          <w:szCs w:val="24"/>
        </w:rPr>
        <w:t>5</w:t>
      </w:r>
      <w:r>
        <w:rPr>
          <w:rFonts w:ascii="宋体" w:eastAsia="宋体" w:hAnsi="宋体" w:cs="宋体"/>
          <w:color w:val="auto"/>
          <w:sz w:val="24"/>
          <w:szCs w:val="24"/>
          <w:lang w:val="zh-TW" w:eastAsia="zh-TW"/>
        </w:rPr>
        <w:t>年团体标准项目计划，项目计划通知文号“商贸促字〔202</w:t>
      </w:r>
      <w:r>
        <w:rPr>
          <w:rFonts w:ascii="宋体" w:eastAsia="宋体" w:hAnsi="宋体" w:cs="宋体"/>
          <w:color w:val="auto"/>
          <w:sz w:val="24"/>
          <w:szCs w:val="24"/>
        </w:rPr>
        <w:t>5</w:t>
      </w:r>
      <w:r>
        <w:rPr>
          <w:rFonts w:ascii="宋体" w:eastAsia="宋体" w:hAnsi="宋体" w:cs="宋体"/>
          <w:color w:val="auto"/>
          <w:sz w:val="24"/>
          <w:szCs w:val="24"/>
          <w:lang w:val="zh-TW" w:eastAsia="zh-TW"/>
        </w:rPr>
        <w:t>〕</w:t>
      </w:r>
      <w:r>
        <w:rPr>
          <w:rFonts w:ascii="宋体" w:eastAsia="宋体" w:hAnsi="宋体" w:cs="宋体"/>
          <w:color w:val="auto"/>
          <w:sz w:val="24"/>
          <w:szCs w:val="24"/>
        </w:rPr>
        <w:t>189</w:t>
      </w:r>
      <w:r>
        <w:rPr>
          <w:rFonts w:ascii="宋体" w:eastAsia="宋体" w:hAnsi="宋体" w:cs="宋体"/>
          <w:color w:val="auto"/>
          <w:sz w:val="24"/>
          <w:szCs w:val="24"/>
          <w:lang w:val="zh-TW" w:eastAsia="zh-TW"/>
        </w:rPr>
        <w:t>号”。标准项目名称为《共享经济ESG指南》。</w:t>
      </w:r>
    </w:p>
    <w:p w14:paraId="103E9C65" w14:textId="77777777" w:rsidR="002E40AF" w:rsidRDefault="00000000">
      <w:pPr>
        <w:pStyle w:val="1"/>
        <w:framePr w:wrap="auto" w:yAlign="inline"/>
        <w:spacing w:line="360" w:lineRule="auto"/>
        <w:ind w:left="482" w:firstLine="0"/>
        <w:rPr>
          <w:rFonts w:ascii="宋体" w:eastAsia="宋体" w:hAnsi="宋体" w:cs="宋体" w:hint="default"/>
          <w:b/>
          <w:bCs/>
          <w:color w:val="auto"/>
          <w:kern w:val="0"/>
          <w:sz w:val="24"/>
          <w:szCs w:val="24"/>
          <w:u w:color="0000FF"/>
          <w:lang w:val="zh-TW"/>
        </w:rPr>
      </w:pPr>
      <w:r>
        <w:rPr>
          <w:rFonts w:ascii="宋体" w:eastAsia="宋体" w:hAnsi="宋体" w:cs="宋体"/>
          <w:b/>
          <w:bCs/>
          <w:color w:val="auto"/>
          <w:kern w:val="0"/>
          <w:sz w:val="24"/>
          <w:szCs w:val="24"/>
          <w:u w:color="0000FF"/>
          <w:lang w:val="zh-TW"/>
        </w:rPr>
        <w:t>二、标准制定的目的和意义</w:t>
      </w:r>
    </w:p>
    <w:p w14:paraId="4D029A12" w14:textId="77777777" w:rsidR="002E40AF" w:rsidRDefault="00000000">
      <w:pPr>
        <w:framePr w:wrap="auto" w:yAlign="inline"/>
        <w:spacing w:line="360" w:lineRule="auto"/>
        <w:ind w:firstLine="480"/>
        <w:rPr>
          <w:rFonts w:ascii="宋体" w:eastAsia="宋体" w:hAnsi="宋体" w:cs="宋体" w:hint="default"/>
          <w:color w:val="auto"/>
          <w:sz w:val="24"/>
          <w:szCs w:val="24"/>
          <w:lang w:val="zh-TW"/>
        </w:rPr>
      </w:pPr>
      <w:r>
        <w:rPr>
          <w:rFonts w:ascii="宋体" w:eastAsia="宋体" w:hAnsi="宋体" w:cs="宋体" w:hint="cs"/>
          <w:color w:val="auto"/>
          <w:sz w:val="24"/>
          <w:szCs w:val="24"/>
          <w:lang w:val="zh-TW"/>
        </w:rPr>
        <w:t>共享经济通过平台促成提供者与用户之间的产品、服务、资产或资产使用机会交换，已广泛应用于共享出行、住宿、空间与设备共享、二手交易、生活服务等场景。与传统单一组织经营模式相比，共享经济具有平台经营者、提供者和用户多方互动，资源使用权配置，数据和算法驱动，线上线下融合，多元提供者参与以及平台规则影响快速扩散等特征。环境、社会和治理问题往往跨越平台运营、线下履约、支付结算、物流配送、资产维护、售后服务和支持生态系统，需要依据主体实际控制和影响程度合理划分责任。</w:t>
      </w:r>
    </w:p>
    <w:p w14:paraId="77DD7409" w14:textId="77777777" w:rsidR="002E40AF" w:rsidRDefault="00000000">
      <w:pPr>
        <w:framePr w:wrap="auto" w:yAlign="inline"/>
        <w:spacing w:line="360" w:lineRule="auto"/>
        <w:ind w:firstLine="480"/>
        <w:rPr>
          <w:rFonts w:ascii="宋体" w:eastAsia="宋体" w:hAnsi="宋体" w:cs="宋体" w:hint="default"/>
          <w:color w:val="auto"/>
          <w:sz w:val="24"/>
          <w:szCs w:val="24"/>
          <w:lang w:val="zh-TW"/>
        </w:rPr>
      </w:pPr>
      <w:r>
        <w:rPr>
          <w:rFonts w:ascii="宋体" w:eastAsia="宋体" w:hAnsi="宋体" w:cs="宋体" w:hint="cs"/>
          <w:color w:val="auto"/>
          <w:sz w:val="24"/>
          <w:szCs w:val="24"/>
          <w:lang w:val="zh-TW"/>
        </w:rPr>
        <w:t>当前，与共享经济相关的绿色低碳、循环利用、消费者权益、新就业形态劳动者权益、平台规则、数据和算法治理、公平竞争、信息披露等要求不断完善，但相关要求分散于不同法律法规、政策文件、管理标准和行业实践中。现有一般性ESG文件难以直接反映闲置资源盘活、共享替代拥有、二手商品再流通、算法派单与定价、多主体协同履责等共享经济特有问题，相关主体在议题识别、目标指标设置、证据管理和ESG声明方面缺少统一、可操作的指导。</w:t>
      </w:r>
    </w:p>
    <w:p w14:paraId="05B972C3" w14:textId="77777777" w:rsidR="002E40AF" w:rsidRDefault="00000000">
      <w:pPr>
        <w:framePr w:wrap="auto" w:yAlign="inline"/>
        <w:spacing w:line="360" w:lineRule="auto"/>
        <w:ind w:firstLine="480"/>
        <w:rPr>
          <w:rFonts w:ascii="宋体" w:eastAsia="宋体" w:hAnsi="宋体" w:cs="宋体" w:hint="default"/>
          <w:color w:val="auto"/>
          <w:sz w:val="24"/>
          <w:szCs w:val="24"/>
          <w:lang w:val="zh-TW"/>
        </w:rPr>
      </w:pPr>
      <w:r>
        <w:rPr>
          <w:rFonts w:ascii="宋体" w:eastAsia="宋体" w:hAnsi="宋体" w:cs="宋体" w:hint="cs"/>
          <w:color w:val="auto"/>
          <w:sz w:val="24"/>
          <w:szCs w:val="24"/>
          <w:lang w:val="zh-TW"/>
        </w:rPr>
        <w:t>制定本标准，旨在衔接IWA 48:2024的ESG实施原则和ISO 42503:2026的共享经济实施框架，结合我国共享经济监管政策和产业实践，形成面向平台经营者、提供者、用户、市场参与方和支持生态系统参与主体的ESG实施指南。标准通过明确责任边界、实施过程、环境社会治理重点、适用要求识别、信息披露和持续改进方法，促进相关主体提升资源利用效率和循环利用水平，保障从业人员、提供者和消费者合法权益，完善平台规则、数据和算法治理，支持中小主体公平参与，并减少缺乏依据的绿色、低碳或社会价值声明。</w:t>
      </w:r>
    </w:p>
    <w:p w14:paraId="36744F20" w14:textId="77777777" w:rsidR="002E40AF" w:rsidRDefault="00000000">
      <w:pPr>
        <w:pStyle w:val="1"/>
        <w:framePr w:wrap="auto" w:yAlign="inline"/>
        <w:spacing w:line="360" w:lineRule="auto"/>
        <w:ind w:left="482" w:firstLine="0"/>
        <w:rPr>
          <w:rFonts w:ascii="宋体" w:eastAsia="宋体" w:hAnsi="宋体" w:cs="宋体" w:hint="default"/>
          <w:b/>
          <w:bCs/>
          <w:color w:val="auto"/>
          <w:kern w:val="0"/>
          <w:sz w:val="24"/>
          <w:szCs w:val="24"/>
          <w:u w:color="0000FF"/>
          <w:lang w:val="zh-TW"/>
        </w:rPr>
      </w:pPr>
      <w:r>
        <w:rPr>
          <w:rFonts w:ascii="宋体" w:eastAsia="宋体" w:hAnsi="宋体" w:cs="宋体"/>
          <w:b/>
          <w:bCs/>
          <w:color w:val="auto"/>
          <w:kern w:val="0"/>
          <w:sz w:val="24"/>
          <w:szCs w:val="24"/>
          <w:u w:color="0000FF"/>
          <w:lang w:val="zh-TW"/>
        </w:rPr>
        <w:t>三、标准起草的过程简述</w:t>
      </w:r>
    </w:p>
    <w:p w14:paraId="270C3F84" w14:textId="77777777" w:rsidR="002E40AF" w:rsidRDefault="00000000">
      <w:pPr>
        <w:framePr w:wrap="auto" w:yAlign="inline"/>
        <w:spacing w:line="360" w:lineRule="auto"/>
        <w:ind w:firstLineChars="98" w:firstLine="236"/>
        <w:rPr>
          <w:rFonts w:ascii="宋体" w:eastAsia="宋体" w:hAnsi="宋体" w:cs="宋体" w:hint="default"/>
          <w:b/>
          <w:bCs/>
          <w:sz w:val="24"/>
          <w:szCs w:val="24"/>
          <w:lang w:val="zh-TW"/>
        </w:rPr>
      </w:pPr>
      <w:r>
        <w:rPr>
          <w:rFonts w:ascii="宋体" w:eastAsia="宋体" w:hAnsi="宋体" w:cs="宋体"/>
          <w:b/>
          <w:bCs/>
          <w:sz w:val="24"/>
          <w:szCs w:val="24"/>
          <w:lang w:val="zh-TW"/>
        </w:rPr>
        <w:t>（一）预研阶段</w:t>
      </w:r>
    </w:p>
    <w:p w14:paraId="1BED69F8"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cs"/>
          <w:color w:val="auto"/>
          <w:sz w:val="24"/>
          <w:szCs w:val="24"/>
        </w:rPr>
        <w:lastRenderedPageBreak/>
        <w:t>202</w:t>
      </w:r>
      <w:r>
        <w:rPr>
          <w:rFonts w:ascii="宋体" w:eastAsia="宋体" w:hAnsi="宋体" w:cs="宋体"/>
          <w:color w:val="auto"/>
          <w:sz w:val="24"/>
          <w:szCs w:val="24"/>
        </w:rPr>
        <w:t>5</w:t>
      </w:r>
      <w:r>
        <w:rPr>
          <w:rFonts w:ascii="宋体" w:eastAsia="宋体" w:hAnsi="宋体" w:cs="宋体" w:hint="cs"/>
          <w:color w:val="auto"/>
          <w:sz w:val="24"/>
          <w:szCs w:val="24"/>
        </w:rPr>
        <w:t>年</w:t>
      </w:r>
      <w:r>
        <w:rPr>
          <w:rFonts w:ascii="宋体" w:eastAsia="宋体" w:hAnsi="宋体" w:cs="宋体"/>
          <w:color w:val="auto"/>
          <w:sz w:val="24"/>
          <w:szCs w:val="24"/>
        </w:rPr>
        <w:t>上</w:t>
      </w:r>
      <w:r>
        <w:rPr>
          <w:rFonts w:ascii="宋体" w:eastAsia="宋体" w:hAnsi="宋体" w:cs="宋体" w:hint="cs"/>
          <w:color w:val="auto"/>
          <w:sz w:val="24"/>
          <w:szCs w:val="24"/>
        </w:rPr>
        <w:t>半年，起草组围绕共享经济ESG实施需求开展前期研究，梳理共享经济典型业务模式、参与主体及责任关系，对共享出行、共享住宿、二手交易、设备和空间共享、灵活就业服务等场景中的环境、社会和治理问题进行分析。起草组对ISO 42500:2021、ISO 42503:2026、IWA 48:2024以及社会责任、风险管理、信息安全、人工智能、温室气体核算等相关国际标准进行比较研究，并梳理我国电子商务、消费者权益、平台规则、数据安全、个人信息保护、算法治理、劳动用工、公平竞争、环境保护和产品碳足迹等法律法规、政策文件及标准。</w:t>
      </w:r>
    </w:p>
    <w:p w14:paraId="7E071FB7"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cs"/>
          <w:color w:val="auto"/>
          <w:sz w:val="24"/>
          <w:szCs w:val="24"/>
        </w:rPr>
        <w:t>预研认为，本标准应以共享经济多主体和生态系统为适用对象，不宜仅面向平台经营者；正文应回答“管什么、如何实施”，附录应提供目标指标、证据和适用要求识别工具；ESG大类和主要议题应与国际通行框架协调，具体指标、数据边界和证据则应体现共享经济特点。</w:t>
      </w:r>
    </w:p>
    <w:p w14:paraId="72589A67" w14:textId="77777777" w:rsidR="002E40AF" w:rsidRDefault="00000000">
      <w:pPr>
        <w:framePr w:wrap="auto" w:yAlign="inline"/>
        <w:spacing w:line="360" w:lineRule="auto"/>
        <w:ind w:firstLineChars="98" w:firstLine="236"/>
        <w:rPr>
          <w:rFonts w:ascii="宋体" w:eastAsia="宋体" w:hAnsi="宋体" w:cs="宋体" w:hint="default"/>
          <w:b/>
          <w:bCs/>
          <w:sz w:val="24"/>
          <w:szCs w:val="24"/>
          <w:lang w:val="zh-TW"/>
        </w:rPr>
      </w:pPr>
      <w:r>
        <w:rPr>
          <w:rFonts w:ascii="宋体" w:eastAsia="宋体" w:hAnsi="宋体" w:cs="宋体"/>
          <w:b/>
          <w:bCs/>
          <w:sz w:val="24"/>
          <w:szCs w:val="24"/>
          <w:lang w:val="zh-TW"/>
        </w:rPr>
        <w:t>（二）立项阶段</w:t>
      </w:r>
    </w:p>
    <w:p w14:paraId="4C28430D"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rPr>
        <w:t>2025年7月，项目提出单位向中国贸促会商业行业委员会提出团体标准立项申请，说明了标准制定的必要性、适用范围、主要技术内容、国内外相关标准情况及预期实施效果。经立项审查，项目列入2026年团体标准项目计划。项目计划通知文号“商贸促字〔2025〕189号”</w:t>
      </w:r>
    </w:p>
    <w:p w14:paraId="3FA11746"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rPr>
        <w:t>2026年3月，发布征集起草单位通知，初步组建标准起草组，制定了标准推进方案。</w:t>
      </w:r>
    </w:p>
    <w:p w14:paraId="2206B232" w14:textId="77777777" w:rsidR="002E40AF" w:rsidRDefault="00000000">
      <w:pPr>
        <w:framePr w:wrap="auto" w:yAlign="inline"/>
        <w:spacing w:line="360" w:lineRule="auto"/>
        <w:ind w:firstLineChars="98" w:firstLine="236"/>
        <w:rPr>
          <w:rFonts w:ascii="宋体" w:eastAsia="宋体" w:hAnsi="宋体" w:cs="宋体" w:hint="default"/>
          <w:color w:val="FF0000"/>
          <w:sz w:val="24"/>
          <w:szCs w:val="24"/>
        </w:rPr>
      </w:pPr>
      <w:r>
        <w:rPr>
          <w:rFonts w:ascii="宋体" w:eastAsia="宋体" w:hAnsi="宋体" w:cs="宋体"/>
          <w:b/>
          <w:bCs/>
          <w:sz w:val="24"/>
          <w:szCs w:val="24"/>
          <w:lang w:val="zh-TW"/>
        </w:rPr>
        <w:t>（三）起草阶段</w:t>
      </w:r>
    </w:p>
    <w:p w14:paraId="75EEF2DD"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rPr>
        <w:t>2026年4月，前期</w:t>
      </w:r>
      <w:r>
        <w:rPr>
          <w:rFonts w:ascii="宋体" w:eastAsia="宋体" w:hAnsi="宋体" w:cs="宋体" w:hint="default"/>
          <w:color w:val="auto"/>
          <w:sz w:val="24"/>
          <w:szCs w:val="24"/>
        </w:rPr>
        <w:t>起草组</w:t>
      </w:r>
      <w:r>
        <w:rPr>
          <w:rFonts w:ascii="宋体" w:eastAsia="宋体" w:hAnsi="宋体" w:cs="宋体"/>
          <w:color w:val="auto"/>
          <w:sz w:val="24"/>
          <w:szCs w:val="24"/>
        </w:rPr>
        <w:t>收集整理国内外相关领域标准制定和行业发展情况，</w:t>
      </w:r>
      <w:r>
        <w:rPr>
          <w:rFonts w:ascii="宋体" w:eastAsia="宋体" w:hAnsi="宋体" w:cs="宋体" w:hint="default"/>
          <w:color w:val="auto"/>
          <w:sz w:val="24"/>
          <w:szCs w:val="24"/>
        </w:rPr>
        <w:t>根据GB/T 1.1—2020的规定编制标准草案</w:t>
      </w:r>
      <w:r>
        <w:rPr>
          <w:rFonts w:ascii="宋体" w:eastAsia="宋体" w:hAnsi="宋体" w:cs="宋体"/>
          <w:color w:val="auto"/>
          <w:sz w:val="24"/>
          <w:szCs w:val="24"/>
        </w:rPr>
        <w:t>框架</w:t>
      </w:r>
      <w:r>
        <w:rPr>
          <w:rFonts w:ascii="宋体" w:eastAsia="宋体" w:hAnsi="宋体" w:cs="宋体" w:hint="default"/>
          <w:color w:val="auto"/>
          <w:sz w:val="24"/>
          <w:szCs w:val="24"/>
        </w:rPr>
        <w:t>，</w:t>
      </w:r>
      <w:r>
        <w:rPr>
          <w:rFonts w:ascii="宋体" w:eastAsia="宋体" w:hAnsi="宋体" w:cs="宋体"/>
          <w:color w:val="auto"/>
          <w:sz w:val="24"/>
          <w:szCs w:val="24"/>
        </w:rPr>
        <w:t>并召开项目启动会，讨论了标准草案框架</w:t>
      </w:r>
      <w:r>
        <w:rPr>
          <w:rFonts w:ascii="宋体" w:eastAsia="宋体" w:hAnsi="宋体" w:cs="宋体" w:hint="default"/>
          <w:color w:val="auto"/>
          <w:sz w:val="24"/>
          <w:szCs w:val="24"/>
        </w:rPr>
        <w:t>。</w:t>
      </w:r>
    </w:p>
    <w:p w14:paraId="6AE80C28"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default"/>
          <w:color w:val="auto"/>
          <w:sz w:val="24"/>
          <w:szCs w:val="24"/>
        </w:rPr>
        <w:t>2026年7月，起草组组织工作组和相关专家对草案进行专题讨论。专家重点就标准适用对象、平台经营者与其他主体责任边界、第五章实施逻辑、平台规则和多重角色管理、新就业形态劳动者权益、中小企业公平参与、产品碳足迹与二手交易减排核算、数据和算法治理、投诉申诉、信息披露、指标示例及成熟度附录等提出修改意见。</w:t>
      </w:r>
    </w:p>
    <w:p w14:paraId="63274EBE"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default"/>
          <w:color w:val="auto"/>
          <w:sz w:val="24"/>
          <w:szCs w:val="24"/>
        </w:rPr>
        <w:t>根据讨论意见，起草组对标准结构和内容进行了系统调整：一是将原“共享经济平台经营者ESG实施框架”调整为适用于各相关主体的“实施过程”，</w:t>
      </w:r>
      <w:r>
        <w:rPr>
          <w:rFonts w:ascii="宋体" w:eastAsia="宋体" w:hAnsi="宋体" w:cs="宋体" w:hint="default"/>
          <w:color w:val="auto"/>
          <w:sz w:val="24"/>
          <w:szCs w:val="24"/>
        </w:rPr>
        <w:lastRenderedPageBreak/>
        <w:t>形成明确范围、识别议题、策划行动、实施协同、保障改进的实施链条；二是补充主体分级分类适用和共享经济管理特征，强化多主体责任、控制与影响边界；三是将环境、社会和治理章节的大议题与IWA 48的因素框架相衔接，同时突出闲置资源利用、二手再流通、反弹效应、平台规则、算法派单、灵活就业、消费者补救、中小主体发展等共享经济特色；四是整合合规、证据、披露、监测、评价和持续改进要求，减少章节交叉重复；五是删除与正文议题清单重复的附录和成熟度模型，保留共享经济ESG目标、指标和证据示例以及适用要求识别与符合性评价清单；六是结合平台实践补充二手交易、共享使用、包装优化、维修翻新和回收利用等环境效益的基准情景、替代率、核算边界、重复计算和声明要求。</w:t>
      </w:r>
    </w:p>
    <w:p w14:paraId="7604C4BC"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default"/>
          <w:color w:val="auto"/>
          <w:sz w:val="24"/>
          <w:szCs w:val="24"/>
        </w:rPr>
        <w:t>2026年8月，起草组对标准草案进行整体校核，重点核对正文与附录衔接、指标示例与正文要求的重复、术语和交叉引用、法律法规适配性以及参考文献的时效性，形成《共享经济ESG指南》团体标准征求意见稿及编制说明。</w:t>
      </w:r>
    </w:p>
    <w:p w14:paraId="2FFC47D9" w14:textId="77777777" w:rsidR="002E40AF" w:rsidRDefault="00000000">
      <w:pPr>
        <w:framePr w:wrap="auto" w:yAlign="inline"/>
        <w:spacing w:line="360" w:lineRule="auto"/>
        <w:ind w:firstLineChars="98" w:firstLine="236"/>
        <w:rPr>
          <w:rFonts w:ascii="宋体" w:eastAsia="宋体" w:hAnsi="宋体" w:cs="宋体" w:hint="default"/>
          <w:b/>
          <w:bCs/>
          <w:sz w:val="24"/>
          <w:szCs w:val="24"/>
          <w:lang w:val="zh-TW"/>
        </w:rPr>
      </w:pPr>
      <w:r>
        <w:rPr>
          <w:rFonts w:ascii="宋体" w:eastAsia="宋体" w:hAnsi="宋体" w:cs="宋体"/>
          <w:b/>
          <w:bCs/>
          <w:sz w:val="24"/>
          <w:szCs w:val="24"/>
          <w:lang w:val="zh-TW"/>
        </w:rPr>
        <w:t>（四）征求意见阶段</w:t>
      </w:r>
    </w:p>
    <w:p w14:paraId="7C5D2ADE" w14:textId="77777777" w:rsidR="002E40AF" w:rsidRDefault="00000000">
      <w:pPr>
        <w:framePr w:wrap="auto" w:yAlign="inline"/>
        <w:spacing w:line="360" w:lineRule="auto"/>
        <w:ind w:firstLine="480"/>
        <w:rPr>
          <w:rFonts w:ascii="宋体" w:eastAsia="宋体" w:hAnsi="宋体" w:cs="宋体" w:hint="default"/>
          <w:sz w:val="24"/>
          <w:szCs w:val="24"/>
        </w:rPr>
      </w:pPr>
      <w:r>
        <w:rPr>
          <w:rFonts w:ascii="宋体" w:eastAsia="宋体" w:hAnsi="宋体" w:cs="宋体" w:hint="default"/>
          <w:sz w:val="24"/>
          <w:szCs w:val="24"/>
        </w:rPr>
        <w:t>2026年8月</w:t>
      </w:r>
      <w:r>
        <w:rPr>
          <w:rFonts w:ascii="宋体" w:eastAsia="宋体" w:hAnsi="宋体" w:cs="宋体"/>
          <w:sz w:val="24"/>
          <w:szCs w:val="24"/>
        </w:rPr>
        <w:t>10</w:t>
      </w:r>
      <w:r>
        <w:rPr>
          <w:rFonts w:ascii="宋体" w:eastAsia="宋体" w:hAnsi="宋体" w:cs="宋体" w:hint="default"/>
          <w:sz w:val="24"/>
          <w:szCs w:val="24"/>
        </w:rPr>
        <w:t>日起，中国贸促会商业行业委员会面向有关单位、专家和社会公众公开征求意见，拟征求意见期限至2026年9月</w:t>
      </w:r>
      <w:r>
        <w:rPr>
          <w:rFonts w:ascii="宋体" w:eastAsia="宋体" w:hAnsi="宋体" w:cs="宋体"/>
          <w:sz w:val="24"/>
          <w:szCs w:val="24"/>
        </w:rPr>
        <w:t>10</w:t>
      </w:r>
      <w:r>
        <w:rPr>
          <w:rFonts w:ascii="宋体" w:eastAsia="宋体" w:hAnsi="宋体" w:cs="宋体" w:hint="default"/>
          <w:sz w:val="24"/>
          <w:szCs w:val="24"/>
        </w:rPr>
        <w:t>日。征求意见结束后，起草组将对反馈意见逐条研究处理，形成征求意见汇总处理表，并根据采纳情况修改完善标准文本，按程序提交审查。</w:t>
      </w:r>
    </w:p>
    <w:p w14:paraId="1D427B17" w14:textId="77777777" w:rsidR="002E40AF" w:rsidRDefault="00000000">
      <w:pPr>
        <w:framePr w:wrap="auto" w:yAlign="inline"/>
        <w:spacing w:line="360" w:lineRule="auto"/>
        <w:ind w:firstLine="482"/>
        <w:rPr>
          <w:rFonts w:ascii="宋体" w:eastAsia="宋体" w:hAnsi="宋体" w:cs="宋体" w:hint="default"/>
          <w:b/>
          <w:bCs/>
          <w:kern w:val="0"/>
          <w:sz w:val="24"/>
          <w:szCs w:val="24"/>
          <w:lang w:val="zh-TW"/>
        </w:rPr>
      </w:pPr>
      <w:r>
        <w:rPr>
          <w:rFonts w:ascii="宋体" w:eastAsia="宋体" w:hAnsi="宋体" w:cs="宋体"/>
          <w:b/>
          <w:bCs/>
          <w:kern w:val="0"/>
          <w:sz w:val="24"/>
          <w:szCs w:val="24"/>
          <w:lang w:val="zh-TW"/>
        </w:rPr>
        <w:t>四、标准的主要内容和依据</w:t>
      </w:r>
    </w:p>
    <w:p w14:paraId="1A78DF53"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rPr>
        <w:t>1、</w:t>
      </w:r>
      <w:r>
        <w:rPr>
          <w:rFonts w:ascii="宋体" w:eastAsia="宋体" w:hAnsi="宋体" w:cs="宋体"/>
          <w:color w:val="auto"/>
          <w:sz w:val="24"/>
          <w:szCs w:val="24"/>
          <w:lang w:val="zh-TW"/>
        </w:rPr>
        <w:t>制定原则</w:t>
      </w:r>
    </w:p>
    <w:p w14:paraId="2A1C2EF2"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lang w:val="zh-TW"/>
        </w:rPr>
        <w:t>本标准制定遵循以下原则：一是合法合规，标准内容与我国现行法律法规、监管规则和强制性标准相协调，不创设行政许可、监管职责或法定权利义务；二是国际协调，参考ISO共享经济系列标准和IWA 48的高层次ESG实施框架，保持术语、实施逻辑和议题分类的可衔接性；三是突出特色，以共享经济三角关系、资源使用权、数据和算法驱动、多元提供者、线上线下融合、规模化外部性和生态系统协同为基础设计技术内容；四是分级分类，根据主体角色、性质、规模、控制和影响能力、数据能力及风险水平确定适用深度，避免对个人和小微主体提出与大型组织相同的组织化要求；五是结果和证据导向，目标指标应反映实际影响和风险控制结果，ESG声明应具有明确边界、方法和证据；六是系统协调，正文规定实施要求，附录提供应用工具，避免章节和指标重复。</w:t>
      </w:r>
    </w:p>
    <w:p w14:paraId="1641D1CF" w14:textId="77777777" w:rsidR="002E40AF" w:rsidRDefault="00000000">
      <w:pPr>
        <w:pStyle w:val="a"/>
        <w:numPr>
          <w:ilvl w:val="0"/>
          <w:numId w:val="0"/>
        </w:numPr>
        <w:tabs>
          <w:tab w:val="left" w:pos="312"/>
        </w:tabs>
        <w:spacing w:before="240" w:after="240"/>
      </w:pPr>
      <w:r>
        <w:rPr>
          <w:rFonts w:ascii="宋体" w:eastAsia="宋体" w:hAnsi="宋体" w:cs="宋体" w:hint="eastAsia"/>
          <w:color w:val="FF0000"/>
          <w:sz w:val="24"/>
          <w:szCs w:val="24"/>
          <w:lang w:val="zh-TW"/>
        </w:rPr>
        <w:lastRenderedPageBreak/>
        <w:t xml:space="preserve">   </w:t>
      </w:r>
      <w:r>
        <w:rPr>
          <w:rFonts w:ascii="宋体" w:eastAsia="宋体" w:hAnsi="宋体" w:cs="宋体" w:hint="eastAsia"/>
          <w:sz w:val="24"/>
          <w:szCs w:val="24"/>
          <w:lang w:val="zh-TW"/>
        </w:rPr>
        <w:t xml:space="preserve"> 2、</w:t>
      </w:r>
      <w:r>
        <w:rPr>
          <w:rFonts w:ascii="宋体" w:eastAsia="宋体" w:hAnsi="宋体" w:cs="宋体"/>
          <w:sz w:val="24"/>
          <w:szCs w:val="24"/>
          <w:lang w:val="zh-TW"/>
        </w:rPr>
        <w:t>主要技术内容的说</w:t>
      </w:r>
      <w:r>
        <w:rPr>
          <w:rFonts w:ascii="宋体" w:eastAsia="宋体" w:hAnsi="宋体" w:cs="宋体" w:hint="eastAsia"/>
          <w:sz w:val="24"/>
          <w:szCs w:val="24"/>
          <w:lang w:val="zh-TW"/>
        </w:rPr>
        <w:t>明</w:t>
      </w:r>
    </w:p>
    <w:p w14:paraId="761AA825"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本标准由9章正文和2个资料性附录组成。</w:t>
      </w:r>
    </w:p>
    <w:p w14:paraId="77B18B40"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第1章规定标准范围，明确标准适用于共享经济平台经营者、提供者、用户、共享经济市场参与方、支持生态系统参与主体及其他相关方，相关主体可以是个人或组织。</w:t>
      </w:r>
    </w:p>
    <w:p w14:paraId="7138012C"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第2章说明本文件无规范性引用文件。ISO 42500、ISO 42503和IWA 48等文件主要作为术语来源、框架衔接和技术参考，使用者无需查阅外部文件即可理解和实施本标准。</w:t>
      </w:r>
    </w:p>
    <w:p w14:paraId="0C91D69F"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3章规定共享经济、平台、平台经营者、提供者、用户、参与主体、共享经济支持生态系统、共享经济市场参与方、相关方、ESG议题和治理安排等术语。其中，针对我国网络交易平台等法定主体概念与共享经济一般概念之间的差异作出说明。</w:t>
      </w:r>
    </w:p>
    <w:p w14:paraId="51E338F3"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4章规定基本原则、主体与责任边界、分级分类适用和共享经济ESG管理特征。标准以实际控制和影响能力为责任划分基础，明确平台经营者、提供者、用户、市场参与方及行业组织、社区等主体的责任重点，并针对个人、小微主体和普通用户规定简化适用方式。</w:t>
      </w:r>
    </w:p>
    <w:p w14:paraId="150C9C0B"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5章规定共享经济ESG实施过程，包括明确范围、识别议题和确定优先级、策划行动、实施与协同、复核与更新。该章将第4章的主体责任、第6章至第8章的ESG议题以及第9章的实施保障连接为完整实施链条，并对指标定义、边界、数据来源、估算方法和避免重复计算提出要求。</w:t>
      </w:r>
    </w:p>
    <w:p w14:paraId="1FCB1CB4"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6章规定环境维度指南，主要包括环境议题及关注重点、资源共享效率和循环利用、能源和温室气体排放、气候韧性、提供者环境责任、用户绿色参与和支持生态系统环境责任。针对二手交易、再使用和再流通，明确比较基准、功能单位、替代程度、增量环境负荷、多次流转分配和不确定性要求；针对产品类别平均系数和代理数据，规定代表性和审慎使用要求。</w:t>
      </w:r>
    </w:p>
    <w:p w14:paraId="4E18DC8A"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7章规定社会维度指南，主要包括提供者和从业人员权益、用户安全和消费者权益、包容可及与数字公平、社区影响和社会价值。标准关注计价收费、收入结算、任务分配、工作负荷、职业安全、申诉救济，以及中小微企业和个体经营者公平参与，兼顾老年人、未成年人、残障人士和数字能力不足者等群体的服务需求。</w:t>
      </w:r>
    </w:p>
    <w:p w14:paraId="2AD167FC"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lastRenderedPageBreak/>
        <w:t>第8章规定治理维度指南，主要包括治理议题、领导力和职责、平台规则和多重角色管理、提供者及合作伙伴管理、数据安全与个人信息保护、算法治理、投诉申诉和举报处理、商业道德与公平竞争、风险预警和应急管理。标准强调平台规则公开公平、重大影响调整的评估沟通、自营业务利益冲突、算法偏差和自动化决定救济。</w:t>
      </w:r>
    </w:p>
    <w:p w14:paraId="3E8EFDD2"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第9章规定实施保障，整合适用要求识别、资源能力、数据证据、信息披露与沟通、监测评价与核验、不符合处置和持续改进。针对二手交易、共享使用、包装优化、维修翻新、再流通和回收利用等环境效益声明，要求说明基准情景、替代率、系数来源、重复计算处理、不确定性及核验情况，防止将估算避免排放量直接表述为组织实际减排、碳抵销量或碳信用。</w:t>
      </w:r>
    </w:p>
    <w:p w14:paraId="0EAC41E0"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rPr>
        <w:t>附录A为资料性附录，给出与IWA 48因素框架相衔接、体现共享经济特点的环境、社会和治理目标、指标和证据示例，并给出部分指标口径示例。附录B为资料性附录，给出适用要求识别领域、适用要求清单和符合性评价清单，支持相关主体动态识别法律法规、平台规则、合同义务和自愿承诺。</w:t>
      </w:r>
    </w:p>
    <w:p w14:paraId="0167E706" w14:textId="77777777" w:rsidR="002E40AF" w:rsidRDefault="00000000">
      <w:pPr>
        <w:pStyle w:val="a9"/>
        <w:spacing w:line="360" w:lineRule="auto"/>
        <w:ind w:firstLine="480"/>
        <w:rPr>
          <w:rFonts w:hAnsi="宋体" w:cs="宋体"/>
          <w:kern w:val="2"/>
          <w:sz w:val="24"/>
          <w:szCs w:val="24"/>
          <w:u w:color="000000"/>
          <w:lang w:val="zh-TW"/>
        </w:rPr>
      </w:pPr>
      <w:r>
        <w:rPr>
          <w:rFonts w:hAnsi="宋体" w:cs="宋体" w:hint="cs"/>
          <w:kern w:val="2"/>
          <w:sz w:val="24"/>
          <w:szCs w:val="24"/>
          <w:u w:color="000000"/>
          <w:lang w:val="zh-TW" w:eastAsia="zh-TW"/>
        </w:rPr>
        <w:t>本标准的主要技术依据包括ISO 42500:2021《共享经济 通用原则》、ISO 42503:2026《共享经济 实施框架》、IWA 48:2024《环境、社会和治理原则实施框架》，以及ISO 26000、ISO 31000、ISO/IEC 27001、ISO/IEC 42001、ISO/IEC 42005、ISO 14064-1等相关文件。国内标准依据包括GB/T 41836—2022、GB/Z 131—2025、GB/T 45263—2025、GB/T 45807—2025、GB/T 24067—2024等。</w:t>
      </w:r>
      <w:r>
        <w:rPr>
          <w:rFonts w:hAnsi="宋体" w:cs="宋体" w:hint="cs"/>
          <w:kern w:val="2"/>
          <w:sz w:val="24"/>
          <w:szCs w:val="24"/>
          <w:u w:color="000000"/>
          <w:lang w:val="zh-TW"/>
        </w:rPr>
        <w:t>法律法规和政策依据主要包括《中华人民共和国电子商务法》《中华人民共和国消费者权益保护法》及其实施条例、《网络交易监督管理办法》《网络交易平台规则监督管理办法》《中华人民共和国反不正当竞争法》《中华人民共和国个人信息保护法》《中华人民共和国数据安全法》《中华人民共和国网络安全法》《网络数据安全管理条例》《互联网信息服务算法推荐管理规定》，以及新就业形态劳动者权益保障、平台经济大中小企业协同发展、产品碳足迹管理等相关政策文件。</w:t>
      </w:r>
    </w:p>
    <w:p w14:paraId="0A1690F3" w14:textId="77777777" w:rsidR="002E40AF" w:rsidRDefault="00000000">
      <w:pPr>
        <w:framePr w:wrap="auto" w:yAlign="inline"/>
        <w:spacing w:line="360" w:lineRule="auto"/>
        <w:ind w:firstLine="482"/>
        <w:rPr>
          <w:rFonts w:ascii="宋体" w:eastAsia="宋体" w:hAnsi="宋体" w:cs="宋体" w:hint="default"/>
          <w:b/>
          <w:bCs/>
          <w:kern w:val="0"/>
          <w:sz w:val="24"/>
          <w:szCs w:val="24"/>
          <w:lang w:val="zh-TW"/>
        </w:rPr>
      </w:pPr>
      <w:r>
        <w:rPr>
          <w:rFonts w:ascii="宋体" w:eastAsia="宋体" w:hAnsi="宋体" w:cs="宋体"/>
          <w:b/>
          <w:bCs/>
          <w:kern w:val="0"/>
          <w:sz w:val="24"/>
          <w:szCs w:val="24"/>
          <w:lang w:val="zh-TW"/>
        </w:rPr>
        <w:t>五、标准的水平</w:t>
      </w:r>
    </w:p>
    <w:p w14:paraId="1EC35D7F" w14:textId="77777777" w:rsidR="002E40AF" w:rsidRDefault="00000000">
      <w:pPr>
        <w:framePr w:wrap="auto" w:yAlign="inline"/>
        <w:spacing w:line="360" w:lineRule="auto"/>
        <w:ind w:firstLine="480"/>
        <w:rPr>
          <w:rFonts w:ascii="宋体" w:eastAsia="宋体" w:hAnsi="宋体" w:cs="宋体" w:hint="default"/>
          <w:sz w:val="24"/>
          <w:szCs w:val="24"/>
          <w:lang w:val="zh-TW"/>
        </w:rPr>
      </w:pPr>
      <w:r>
        <w:rPr>
          <w:rFonts w:ascii="宋体" w:eastAsia="宋体" w:hAnsi="宋体" w:cs="宋体"/>
          <w:sz w:val="24"/>
          <w:szCs w:val="24"/>
          <w:lang w:val="zh-TW"/>
        </w:rPr>
        <w:t>本标准在技术结构上与IWA 48:2024的ESG实施原则和ISO 42503:2026的共享经济实施框架保持协调，同时结合我国共享经济法律政策和平台实践进行了细化。与一般性ESG指南相比，本标准突出资源共享和循环利用、多主体责</w:t>
      </w:r>
      <w:r>
        <w:rPr>
          <w:rFonts w:ascii="宋体" w:eastAsia="宋体" w:hAnsi="宋体" w:cs="宋体"/>
          <w:sz w:val="24"/>
          <w:szCs w:val="24"/>
          <w:lang w:val="zh-TW"/>
        </w:rPr>
        <w:lastRenderedPageBreak/>
        <w:t>任边界、平台规则与多重角色、数据算法治理、灵活就业和消费者权益、支持生态系统协同以及二手交易环境效益核算等内容；与现有共享经济通用原则和数字平台安全类标准相比，本标准进一步形成了覆盖环境、社会和治理的综合实施过程、指标证据和持续改进工具。总体看，本标准技术内容较为系统、适用性较强，预期达到国内先进并与国际相关标准协调的水平。</w:t>
      </w:r>
    </w:p>
    <w:p w14:paraId="47E69E5A" w14:textId="77777777" w:rsidR="002E40AF" w:rsidRDefault="00000000">
      <w:pPr>
        <w:framePr w:wrap="auto" w:yAlign="inline"/>
        <w:spacing w:line="360" w:lineRule="auto"/>
        <w:ind w:firstLine="482"/>
        <w:rPr>
          <w:rFonts w:ascii="宋体" w:eastAsia="宋体" w:hAnsi="宋体" w:cs="宋体" w:hint="default"/>
          <w:b/>
          <w:bCs/>
          <w:kern w:val="0"/>
          <w:sz w:val="24"/>
          <w:szCs w:val="24"/>
          <w:lang w:val="zh-TW"/>
        </w:rPr>
      </w:pPr>
      <w:r>
        <w:rPr>
          <w:rFonts w:ascii="宋体" w:eastAsia="宋体" w:hAnsi="宋体" w:cs="宋体"/>
          <w:b/>
          <w:bCs/>
          <w:kern w:val="0"/>
          <w:sz w:val="24"/>
          <w:szCs w:val="24"/>
          <w:lang w:val="zh-TW"/>
        </w:rPr>
        <w:t>六、与有关的现行法律、法规和强制性国家标准的关系</w:t>
      </w:r>
    </w:p>
    <w:p w14:paraId="7555B048" w14:textId="77777777" w:rsidR="002E40AF" w:rsidRDefault="00000000">
      <w:pPr>
        <w:framePr w:wrap="auto" w:yAlign="inline"/>
        <w:spacing w:line="360" w:lineRule="auto"/>
        <w:ind w:firstLine="480"/>
        <w:rPr>
          <w:rFonts w:ascii="宋体" w:eastAsia="宋体" w:hAnsi="宋体" w:cs="宋体" w:hint="default"/>
          <w:color w:val="auto"/>
          <w:sz w:val="24"/>
          <w:szCs w:val="24"/>
          <w:lang w:val="zh-TW"/>
        </w:rPr>
      </w:pPr>
      <w:r>
        <w:rPr>
          <w:rFonts w:ascii="宋体" w:eastAsia="宋体" w:hAnsi="宋体" w:cs="宋体"/>
          <w:color w:val="auto"/>
          <w:sz w:val="24"/>
          <w:szCs w:val="24"/>
          <w:lang w:val="zh-TW"/>
        </w:rPr>
        <w:t>本标准为自愿采用的团体标准，提供共享经济ESG管理和实施建议，不替代法律法规、监管要求、合同义务及特定行业准入要求，不设定行政许可、行政处罚或监管部门职责。标准第9章要求相关主体结合自身角色、业务和区域动态识别适用要求；法律法规对电子商务平台经营者、网络交易平台经营者、新就业形态用工、个人信息处理、算法推荐、支付结算、产品和服务安全等另有规定的，从其规定。</w:t>
      </w:r>
    </w:p>
    <w:p w14:paraId="7358AA8C" w14:textId="77777777" w:rsidR="002E40AF" w:rsidRDefault="00000000">
      <w:pPr>
        <w:framePr w:wrap="auto" w:yAlign="inline"/>
        <w:spacing w:line="360" w:lineRule="auto"/>
        <w:ind w:firstLine="480"/>
        <w:rPr>
          <w:rFonts w:ascii="宋体" w:eastAsia="宋体" w:hAnsi="宋体" w:cs="宋体" w:hint="default"/>
          <w:color w:val="auto"/>
          <w:sz w:val="24"/>
          <w:szCs w:val="24"/>
          <w:lang w:val="zh-TW"/>
        </w:rPr>
      </w:pPr>
      <w:r>
        <w:rPr>
          <w:rFonts w:ascii="宋体" w:eastAsia="宋体" w:hAnsi="宋体" w:cs="宋体"/>
          <w:color w:val="auto"/>
          <w:sz w:val="24"/>
          <w:szCs w:val="24"/>
          <w:lang w:val="zh-TW"/>
        </w:rPr>
        <w:t>本标准与《中华人民共和国电子商务法》《中华人民共和国消费者权益保护法》及其实施条例、《中华人民共和国个人信息保护法》《中华人民共和国数据安全法》《中华人民共和国网络安全法》《中华人民共和国反不正当竞争法》《网络数据安全管理条例》《网络交易平台规则监督管理办法》等现行法律法规和规章不存在冲突。涉及劳动关系及其他用工关系认定、社会保障、职业伤害、争议处理等事项，应依照法律法规和有关政策执行，本标准不作为劳动关系认定的直接依据。</w:t>
      </w:r>
    </w:p>
    <w:p w14:paraId="2B93A862" w14:textId="77777777" w:rsidR="002E40AF" w:rsidRDefault="00000000">
      <w:pPr>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color w:val="auto"/>
          <w:sz w:val="24"/>
          <w:szCs w:val="24"/>
          <w:lang w:val="zh-TW"/>
        </w:rPr>
        <w:t>经分析，尚未发现与本标准整体内容直接对应的强制性国家标准。共享经济活动涉及具体产品、服务、设备、场所、交通、消防、食品、特种设备、网络安全、职业健康安全等事项时，相关主体仍应执行适用的强制性国家标准和其他强制性要求。本标准与相关强制性标准之间为补充衔接关系，不降低任何法定或强制性安全要求。</w:t>
      </w:r>
    </w:p>
    <w:p w14:paraId="5AAF8440" w14:textId="77777777" w:rsidR="002E40AF" w:rsidRDefault="00000000">
      <w:pPr>
        <w:framePr w:wrap="auto" w:yAlign="inline"/>
        <w:spacing w:line="360" w:lineRule="auto"/>
        <w:ind w:firstLine="482"/>
        <w:rPr>
          <w:rFonts w:ascii="宋体" w:eastAsia="宋体" w:hAnsi="宋体" w:cs="宋体" w:hint="default"/>
          <w:b/>
          <w:bCs/>
          <w:kern w:val="0"/>
          <w:sz w:val="24"/>
          <w:szCs w:val="24"/>
          <w:lang w:val="zh-TW"/>
        </w:rPr>
      </w:pPr>
      <w:r>
        <w:rPr>
          <w:rFonts w:ascii="宋体" w:eastAsia="宋体" w:hAnsi="宋体" w:cs="宋体"/>
          <w:b/>
          <w:bCs/>
          <w:kern w:val="0"/>
          <w:sz w:val="24"/>
          <w:szCs w:val="24"/>
          <w:lang w:val="zh-TW"/>
        </w:rPr>
        <w:t>七、贯彻标准的要求和措施建议</w:t>
      </w:r>
    </w:p>
    <w:p w14:paraId="1A71847D" w14:textId="77777777" w:rsidR="002E40AF" w:rsidRDefault="00000000">
      <w:pPr>
        <w:framePr w:wrap="auto" w:yAlign="inline"/>
        <w:spacing w:line="360" w:lineRule="auto"/>
        <w:ind w:firstLine="480"/>
        <w:rPr>
          <w:rFonts w:ascii="宋体" w:eastAsia="宋体" w:hAnsi="宋体" w:cs="宋体" w:hint="default"/>
          <w:sz w:val="24"/>
          <w:szCs w:val="24"/>
          <w:lang w:val="zh-TW"/>
        </w:rPr>
      </w:pPr>
      <w:r>
        <w:rPr>
          <w:rFonts w:ascii="宋体" w:eastAsia="宋体" w:hAnsi="宋体" w:cs="宋体"/>
          <w:sz w:val="24"/>
          <w:szCs w:val="24"/>
          <w:lang w:val="zh-TW"/>
        </w:rPr>
        <w:t>标准发布后，建议由归口单位和起草组组织面向平台经营者、提供者、行业组织、评价机构和专业服务机构的宣贯培训，重点解读主体责任边界、分级分类适用、实施过程、共享经济特色指标、数据证据和ESG声明要求。</w:t>
      </w:r>
    </w:p>
    <w:p w14:paraId="0FF45ED8" w14:textId="77777777" w:rsidR="002E40AF" w:rsidRDefault="00000000">
      <w:pPr>
        <w:framePr w:wrap="auto" w:yAlign="inline"/>
        <w:spacing w:line="360" w:lineRule="auto"/>
        <w:ind w:firstLine="480"/>
        <w:rPr>
          <w:rFonts w:ascii="宋体" w:eastAsia="宋体" w:hAnsi="宋体" w:cs="宋体" w:hint="default"/>
          <w:sz w:val="24"/>
          <w:szCs w:val="24"/>
          <w:lang w:val="zh-TW"/>
        </w:rPr>
      </w:pPr>
      <w:r>
        <w:rPr>
          <w:rFonts w:ascii="宋体" w:eastAsia="宋体" w:hAnsi="宋体" w:cs="宋体"/>
          <w:sz w:val="24"/>
          <w:szCs w:val="24"/>
          <w:lang w:val="zh-TW"/>
        </w:rPr>
        <w:t>建议选择共享出行、二手交易、共享住宿、设备或空间共享、生活服务等典型场景开展试点应用，形成实施清单、目标指标表、证据台账和案例，验证</w:t>
      </w:r>
      <w:r>
        <w:rPr>
          <w:rFonts w:ascii="宋体" w:eastAsia="宋体" w:hAnsi="宋体" w:cs="宋体"/>
          <w:sz w:val="24"/>
          <w:szCs w:val="24"/>
          <w:lang w:val="zh-TW"/>
        </w:rPr>
        <w:lastRenderedPageBreak/>
        <w:t>不同规模、不同角色主体的可操作性。个人和小微主体宜优先使用平台记录、电子凭证、简化清单和外部专业支持，避免增加不必要的管理负担。</w:t>
      </w:r>
    </w:p>
    <w:p w14:paraId="2CE7371F" w14:textId="77777777" w:rsidR="002E40AF" w:rsidRDefault="00000000">
      <w:pPr>
        <w:framePr w:wrap="auto" w:yAlign="inline"/>
        <w:spacing w:line="360" w:lineRule="auto"/>
        <w:ind w:firstLine="480"/>
        <w:rPr>
          <w:rFonts w:ascii="宋体" w:eastAsia="宋体" w:hAnsi="宋体" w:cs="宋体" w:hint="default"/>
          <w:sz w:val="24"/>
          <w:szCs w:val="24"/>
          <w:lang w:val="zh-TW"/>
        </w:rPr>
      </w:pPr>
      <w:r>
        <w:rPr>
          <w:rFonts w:ascii="宋体" w:eastAsia="宋体" w:hAnsi="宋体" w:cs="宋体"/>
          <w:sz w:val="24"/>
          <w:szCs w:val="24"/>
          <w:lang w:val="zh-TW"/>
        </w:rPr>
        <w:t>建议相关组织将标准要求融入现有合规、风险、质量、环境、职业健康安全、信息安全、数据治理和内部控制安排，建立法律法规及平台规则动态更新机制。涉及环境效益、减排贡献、公平算法、公益和隐私保护等对外声明时，应强化数据质量、方法说明、内部审查和必要的第三方核验。</w:t>
      </w:r>
    </w:p>
    <w:p w14:paraId="3D3A7202" w14:textId="77777777" w:rsidR="002E40AF" w:rsidRDefault="00000000">
      <w:pPr>
        <w:framePr w:wrap="auto" w:yAlign="inline"/>
        <w:spacing w:line="360" w:lineRule="auto"/>
        <w:ind w:firstLine="480"/>
        <w:rPr>
          <w:rFonts w:ascii="宋体" w:eastAsia="宋体" w:hAnsi="宋体" w:cs="宋体" w:hint="default"/>
          <w:sz w:val="24"/>
          <w:szCs w:val="24"/>
          <w:lang w:val="zh-TW"/>
        </w:rPr>
      </w:pPr>
      <w:r>
        <w:rPr>
          <w:rFonts w:ascii="宋体" w:eastAsia="宋体" w:hAnsi="宋体" w:cs="宋体"/>
          <w:sz w:val="24"/>
          <w:szCs w:val="24"/>
          <w:lang w:val="zh-TW"/>
        </w:rPr>
        <w:t>建议归口单位持续收集标准实施中的意见和案例，关注共享经济新业务模式、平台监管、算法治理、新就业形态劳动者权益、产品碳足迹和循环经济方法的变化，适时组织标准复审和修订。</w:t>
      </w:r>
    </w:p>
    <w:p w14:paraId="06349717" w14:textId="77777777" w:rsidR="002E40AF" w:rsidRDefault="00000000">
      <w:pPr>
        <w:framePr w:wrap="auto" w:yAlign="inline"/>
        <w:spacing w:line="360" w:lineRule="auto"/>
        <w:ind w:firstLine="482"/>
        <w:rPr>
          <w:rFonts w:ascii="宋体" w:eastAsia="宋体" w:hAnsi="宋体" w:cs="宋体" w:hint="default"/>
          <w:b/>
          <w:bCs/>
          <w:kern w:val="0"/>
          <w:sz w:val="24"/>
          <w:szCs w:val="24"/>
          <w:lang w:val="zh-TW"/>
        </w:rPr>
      </w:pPr>
      <w:r>
        <w:rPr>
          <w:rFonts w:ascii="宋体" w:eastAsia="宋体" w:hAnsi="宋体" w:cs="宋体"/>
          <w:b/>
          <w:bCs/>
          <w:kern w:val="0"/>
          <w:sz w:val="24"/>
          <w:szCs w:val="24"/>
          <w:lang w:val="zh-TW"/>
        </w:rPr>
        <w:t>八、标准实施的预期效果</w:t>
      </w:r>
    </w:p>
    <w:p w14:paraId="2A94F119" w14:textId="77777777" w:rsidR="002E40AF" w:rsidRDefault="00000000">
      <w:pPr>
        <w:framePr w:wrap="auto" w:yAlign="inline"/>
        <w:spacing w:line="360" w:lineRule="auto"/>
        <w:ind w:firstLine="480"/>
        <w:rPr>
          <w:rFonts w:ascii="宋体" w:eastAsia="宋体" w:hAnsi="宋体" w:cs="宋体" w:hint="default"/>
          <w:color w:val="auto"/>
          <w:sz w:val="24"/>
          <w:szCs w:val="24"/>
          <w:lang w:val="zh-TW" w:eastAsia="zh-TW"/>
        </w:rPr>
      </w:pPr>
      <w:r>
        <w:rPr>
          <w:rFonts w:ascii="宋体" w:eastAsia="宋体" w:hAnsi="宋体" w:cs="宋体" w:hint="cs"/>
          <w:color w:val="auto"/>
          <w:sz w:val="24"/>
          <w:szCs w:val="24"/>
          <w:lang w:val="zh-TW" w:eastAsia="zh-TW"/>
        </w:rPr>
        <w:t>在环境方面，标准有助于相关主体从单纯关注平台自有运营，转向识别平台促成的资源配置、提供者履约和用户使用影响，提升闲置资源利用、资产维护、维修翻新、二手再流通、包装减量和回收利用的管理水平，并通过明确替代率、核算边界、增量负荷和重复计算控制，提高环境效益和减排声明的可信度。</w:t>
      </w:r>
    </w:p>
    <w:p w14:paraId="2EF21836" w14:textId="77777777" w:rsidR="002E40AF" w:rsidRDefault="00000000">
      <w:pPr>
        <w:framePr w:wrap="auto" w:yAlign="inline"/>
        <w:spacing w:line="360" w:lineRule="auto"/>
        <w:ind w:firstLine="480"/>
        <w:rPr>
          <w:rFonts w:ascii="宋体" w:eastAsia="宋体" w:hAnsi="宋体" w:cs="宋体" w:hint="default"/>
          <w:color w:val="auto"/>
          <w:sz w:val="24"/>
          <w:szCs w:val="24"/>
          <w:lang w:val="zh-TW" w:eastAsia="zh-TW"/>
        </w:rPr>
      </w:pPr>
      <w:r>
        <w:rPr>
          <w:rFonts w:ascii="宋体" w:eastAsia="宋体" w:hAnsi="宋体" w:cs="宋体" w:hint="cs"/>
          <w:color w:val="auto"/>
          <w:sz w:val="24"/>
          <w:szCs w:val="24"/>
          <w:lang w:val="zh-TW" w:eastAsia="zh-TW"/>
        </w:rPr>
        <w:t>在社会方面，标准有助于完善提供者和从业人员在准入、计价收费、收入结算、任务分配、职业安全和申诉救济等方面的保障，提升用户安全、知情选择、投诉退款和补救水平，改善特殊群体服务可及性，促进中小微企业、个体经营者和本地社区公平参与共享经济发展。</w:t>
      </w:r>
    </w:p>
    <w:p w14:paraId="18979813" w14:textId="77777777" w:rsidR="002E40AF" w:rsidRDefault="00000000">
      <w:pPr>
        <w:framePr w:wrap="auto" w:yAlign="inline"/>
        <w:spacing w:line="360" w:lineRule="auto"/>
        <w:ind w:firstLine="480"/>
        <w:rPr>
          <w:rFonts w:ascii="宋体" w:eastAsia="宋体" w:hAnsi="宋体" w:cs="宋体" w:hint="default"/>
          <w:color w:val="auto"/>
          <w:sz w:val="24"/>
          <w:szCs w:val="24"/>
          <w:lang w:val="zh-TW" w:eastAsia="zh-TW"/>
        </w:rPr>
      </w:pPr>
      <w:r>
        <w:rPr>
          <w:rFonts w:ascii="宋体" w:eastAsia="宋体" w:hAnsi="宋体" w:cs="宋体" w:hint="cs"/>
          <w:color w:val="auto"/>
          <w:sz w:val="24"/>
          <w:szCs w:val="24"/>
          <w:lang w:val="zh-TW" w:eastAsia="zh-TW"/>
        </w:rPr>
        <w:t>在治理方面，标准有助于明确平台经营者、提供者、用户和支持生态系统主体的责任边界，完善平台规则、多重角色利益冲突、数据和算法、合作伙伴、投诉举报、商业道德、风险应急和信息披露机制，推动ESG要求嵌入业务流程和技术系统。</w:t>
      </w:r>
    </w:p>
    <w:p w14:paraId="0AB1DD2F" w14:textId="77777777" w:rsidR="002E40AF" w:rsidRDefault="00000000">
      <w:pPr>
        <w:framePr w:wrap="auto" w:yAlign="inline"/>
        <w:spacing w:line="360" w:lineRule="auto"/>
        <w:ind w:firstLine="480"/>
        <w:rPr>
          <w:rFonts w:hint="default"/>
          <w:color w:val="FF0000"/>
        </w:rPr>
      </w:pPr>
      <w:r>
        <w:rPr>
          <w:rFonts w:ascii="宋体" w:eastAsia="宋体" w:hAnsi="宋体" w:cs="宋体" w:hint="cs"/>
          <w:color w:val="auto"/>
          <w:sz w:val="24"/>
          <w:szCs w:val="24"/>
          <w:lang w:val="zh-TW" w:eastAsia="zh-TW"/>
        </w:rPr>
        <w:t>在行业和市场层面，标准可为共享经济ESG评价、合作沟通、能力建设和信息披露提供共同语言及证据框架，减少重复建设和不一致口径，防范绿色漂洗和社会价值夸大，提升共享经济的规范化、包容性、可信度和可持续发展能力，并为我国共享经济实践与国际标准衔接提供参考。</w:t>
      </w:r>
    </w:p>
    <w:sectPr w:rsidR="002E40AF">
      <w:headerReference w:type="default" r:id="rId14"/>
      <w:footerReference w:type="default" r:id="rId15"/>
      <w:pgSz w:w="11900" w:h="16840"/>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E0DB1E" w14:textId="77777777" w:rsidR="00602512" w:rsidRDefault="00602512">
      <w:pPr>
        <w:framePr w:wrap="around"/>
        <w:rPr>
          <w:rFonts w:hint="default"/>
        </w:rPr>
      </w:pPr>
      <w:r>
        <w:separator/>
      </w:r>
    </w:p>
  </w:endnote>
  <w:endnote w:type="continuationSeparator" w:id="0">
    <w:p w14:paraId="59D2FC98" w14:textId="77777777" w:rsidR="00602512" w:rsidRDefault="00602512">
      <w:pPr>
        <w:framePr w:wrap="around"/>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PMingLiU">
    <w:altName w:val="新細明體"/>
    <w:panose1 w:val="020205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2B08E" w14:textId="77777777" w:rsidR="007A4B64" w:rsidRDefault="007A4B64">
    <w:pPr>
      <w:pStyle w:val="a4"/>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AB7FD5" w14:textId="77777777" w:rsidR="002E40AF" w:rsidRDefault="002E40AF">
    <w:pPr>
      <w:pStyle w:val="a4"/>
      <w:framePr w:wrap="auto" w:yAlign="inline"/>
      <w:tabs>
        <w:tab w:val="clear" w:pos="8306"/>
        <w:tab w:val="right" w:pos="82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0B7E5" w14:textId="77777777" w:rsidR="007A4B64" w:rsidRDefault="007A4B64">
    <w:pPr>
      <w:pStyle w:val="a4"/>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CDC513" w14:textId="77777777" w:rsidR="002E40AF" w:rsidRDefault="002E40AF">
    <w:pPr>
      <w:pStyle w:val="a4"/>
      <w:framePr w:wrap="auto" w:yAlign="inline"/>
      <w:tabs>
        <w:tab w:val="clear" w:pos="8306"/>
        <w:tab w:val="right" w:pos="82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572248" w14:textId="77777777" w:rsidR="00602512" w:rsidRDefault="00602512">
      <w:pPr>
        <w:framePr w:wrap="around"/>
        <w:rPr>
          <w:rFonts w:hint="default"/>
        </w:rPr>
      </w:pPr>
      <w:r>
        <w:separator/>
      </w:r>
    </w:p>
  </w:footnote>
  <w:footnote w:type="continuationSeparator" w:id="0">
    <w:p w14:paraId="1469623E" w14:textId="77777777" w:rsidR="00602512" w:rsidRDefault="00602512">
      <w:pPr>
        <w:framePr w:wrap="around"/>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05BED0" w14:textId="77777777" w:rsidR="007A4B64" w:rsidRDefault="007A4B64">
    <w:pPr>
      <w:pStyle w:val="a5"/>
      <w:framePr w:wrap="around"/>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873ACD" w14:textId="77777777" w:rsidR="002E40AF" w:rsidRDefault="00000000">
    <w:pPr>
      <w:pStyle w:val="aa"/>
      <w:framePr w:wrap="auto" w:yAlign="inline"/>
      <w:rPr>
        <w:rFonts w:hint="eastAsia"/>
      </w:rPr>
    </w:pPr>
    <w:r>
      <w:rPr>
        <w:noProof/>
      </w:rPr>
      <mc:AlternateContent>
        <mc:Choice Requires="wps">
          <w:drawing>
            <wp:anchor distT="152400" distB="152400" distL="152400" distR="152400" simplePos="0" relativeHeight="251659264" behindDoc="1" locked="0" layoutInCell="1" allowOverlap="1" wp14:anchorId="35FB0ED1" wp14:editId="7B7433E6">
              <wp:simplePos x="0" y="0"/>
              <wp:positionH relativeFrom="page">
                <wp:posOffset>3750945</wp:posOffset>
              </wp:positionH>
              <wp:positionV relativeFrom="page">
                <wp:posOffset>9833610</wp:posOffset>
              </wp:positionV>
              <wp:extent cx="57785" cy="131445"/>
              <wp:effectExtent l="0" t="0" r="0" b="0"/>
              <wp:wrapNone/>
              <wp:docPr id="1" name="officeArt object" descr="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2700" cap="flat">
                        <a:noFill/>
                        <a:miter lim="400000"/>
                      </a:ln>
                      <a:effectLst/>
                    </wps:spPr>
                    <wps:txbx>
                      <w:txbxContent>
                        <w:p w14:paraId="2AD75A9E" w14:textId="77777777" w:rsidR="002E40AF" w:rsidRDefault="00000000">
                          <w:pPr>
                            <w:pStyle w:val="a4"/>
                          </w:pPr>
                          <w:r>
                            <w:fldChar w:fldCharType="begin"/>
                          </w:r>
                          <w:r>
                            <w:instrText xml:space="preserve"> PAGE </w:instrText>
                          </w:r>
                          <w:r>
                            <w:fldChar w:fldCharType="separate"/>
                          </w:r>
                          <w:r>
                            <w:t>3</w:t>
                          </w:r>
                          <w:r>
                            <w:fldChar w:fldCharType="end"/>
                          </w:r>
                        </w:p>
                      </w:txbxContent>
                    </wps:txbx>
                    <wps:bodyPr wrap="square" lIns="0" tIns="0" rIns="0" bIns="0" numCol="1" anchor="t">
                      <a:noAutofit/>
                    </wps:bodyPr>
                  </wps:wsp>
                </a:graphicData>
              </a:graphic>
            </wp:anchor>
          </w:drawing>
        </mc:Choice>
        <mc:Fallback>
          <w:pict>
            <v:shapetype w14:anchorId="35FB0ED1" id="_x0000_t202" coordsize="21600,21600" o:spt="202" path="m,l,21600r21600,l21600,xe">
              <v:stroke joinstyle="miter"/>
              <v:path gradientshapeok="t" o:connecttype="rect"/>
            </v:shapetype>
            <v:shape id="officeArt object" o:spid="_x0000_s1026" type="#_x0000_t202" alt="文本框 1" style="position:absolute;margin-left:295.35pt;margin-top:774.3pt;width:4.55pt;height:10.3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" filled="f" stroked="f" strokeweight="1pt">
              <v:stroke miterlimit="4"/>
              <v:textbox inset="0,0,0,0">
                <w:txbxContent>
                  <w:p w14:paraId="2AD75A9E" w14:textId="77777777" w:rsidR="002E40AF" w:rsidRDefault="00000000">
                    <w:pPr>
                      <w:pStyle w:val="a4"/>
                    </w:pPr>
                    <w:r>
                      <w:fldChar w:fldCharType="begin"/>
                    </w:r>
                    <w:r>
                      <w:instrText xml:space="preserve"> PAGE </w:instrText>
                    </w:r>
                    <w:r>
                      <w:fldChar w:fldCharType="separate"/>
                    </w:r>
                    <w:r>
                      <w:t>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73AD7" w14:textId="77777777" w:rsidR="007A4B64" w:rsidRDefault="007A4B64">
    <w:pPr>
      <w:pStyle w:val="a5"/>
      <w:framePr w:wrap="around"/>
      <w:rPr>
        <w:rFonts w:hint="defau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481FC6" w14:textId="77777777" w:rsidR="002E40AF" w:rsidRDefault="00000000">
    <w:pPr>
      <w:pStyle w:val="aa"/>
      <w:framePr w:wrap="auto" w:yAlign="inline"/>
      <w:rPr>
        <w:rFonts w:hint="eastAsia"/>
      </w:rPr>
    </w:pPr>
    <w:r>
      <w:rPr>
        <w:noProof/>
      </w:rPr>
      <mc:AlternateContent>
        <mc:Choice Requires="wps">
          <w:drawing>
            <wp:anchor distT="152400" distB="152400" distL="152400" distR="152400" simplePos="0" relativeHeight="251660288" behindDoc="1" locked="0" layoutInCell="1" allowOverlap="1" wp14:anchorId="30E6BDF8" wp14:editId="1F12AF2F">
              <wp:simplePos x="0" y="0"/>
              <wp:positionH relativeFrom="page">
                <wp:posOffset>3750945</wp:posOffset>
              </wp:positionH>
              <wp:positionV relativeFrom="page">
                <wp:posOffset>9833610</wp:posOffset>
              </wp:positionV>
              <wp:extent cx="57785" cy="131445"/>
              <wp:effectExtent l="0" t="0" r="0" b="0"/>
              <wp:wrapNone/>
              <wp:docPr id="1073741825" name="officeArt object" descr="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2700" cap="flat">
                        <a:noFill/>
                        <a:miter lim="400000"/>
                      </a:ln>
                      <a:effectLst/>
                    </wps:spPr>
                    <wps:txbx>
                      <w:txbxContent>
                        <w:p w14:paraId="2893BA5A" w14:textId="77777777" w:rsidR="002E40AF" w:rsidRDefault="00000000">
                          <w:pPr>
                            <w:pStyle w:val="a4"/>
                          </w:pPr>
                          <w:r>
                            <w:fldChar w:fldCharType="begin"/>
                          </w:r>
                          <w:r>
                            <w:instrText xml:space="preserve"> PAGE </w:instrText>
                          </w:r>
                          <w:r>
                            <w:fldChar w:fldCharType="separate"/>
                          </w:r>
                          <w:r>
                            <w:t>3</w:t>
                          </w:r>
                          <w:r>
                            <w:fldChar w:fldCharType="end"/>
                          </w:r>
                        </w:p>
                      </w:txbxContent>
                    </wps:txbx>
                    <wps:bodyPr wrap="square" lIns="0" tIns="0" rIns="0" bIns="0" numCol="1" anchor="t">
                      <a:noAutofit/>
                    </wps:bodyPr>
                  </wps:wsp>
                </a:graphicData>
              </a:graphic>
            </wp:anchor>
          </w:drawing>
        </mc:Choice>
        <mc:Fallback>
          <w:pict>
            <v:shapetype w14:anchorId="30E6BDF8" id="_x0000_t202" coordsize="21600,21600" o:spt="202" path="m,l,21600r21600,l21600,xe">
              <v:stroke joinstyle="miter"/>
              <v:path gradientshapeok="t" o:connecttype="rect"/>
            </v:shapetype>
            <v:shape id="_x0000_s1027" type="#_x0000_t202" alt="文本框 1" style="position:absolute;margin-left:295.35pt;margin-top:774.3pt;width:4.55pt;height:10.3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" filled="f" stroked="f" strokeweight="1pt">
              <v:stroke miterlimit="4"/>
              <v:textbox inset="0,0,0,0">
                <w:txbxContent>
                  <w:p w14:paraId="2893BA5A" w14:textId="77777777" w:rsidR="002E40AF" w:rsidRDefault="00000000">
                    <w:pPr>
                      <w:pStyle w:val="a4"/>
                    </w:pPr>
                    <w:r>
                      <w:fldChar w:fldCharType="begin"/>
                    </w:r>
                    <w:r>
                      <w:instrText xml:space="preserve"> PAGE </w:instrText>
                    </w:r>
                    <w:r>
                      <w:fldChar w:fldCharType="separate"/>
                    </w:r>
                    <w: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425" w:firstLine="0"/>
      </w:pPr>
      <w:rPr>
        <w:rFonts w:ascii="黑体" w:eastAsia="黑体" w:hAnsi="Times New Roman" w:cs="Times New Roman" w:hint="eastAsia"/>
        <w:b w:val="0"/>
        <w:bCs w:val="0"/>
        <w:i w:val="0"/>
        <w:iCs w:val="0"/>
        <w:caps w:val="0"/>
        <w:strike w:val="0"/>
        <w:dstrike w:val="0"/>
        <w:vanish w:val="0"/>
        <w:color w:val="800000"/>
        <w:spacing w:val="0"/>
        <w:kern w:val="0"/>
        <w:position w:val="0"/>
        <w:sz w:val="21"/>
        <w:szCs w:val="21"/>
        <w:u w:val="none"/>
        <w:vertAlign w:val="baseline"/>
      </w:rPr>
    </w:lvl>
    <w:lvl w:ilvl="2">
      <w:start w:val="1"/>
      <w:numFmt w:val="decimal"/>
      <w:suff w:val="nothing"/>
      <w:lvlText w:val="%1.%2.%3　"/>
      <w:lvlJc w:val="left"/>
      <w:pPr>
        <w:ind w:left="2268"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37C542B2"/>
    <w:multiLevelType w:val="multilevel"/>
    <w:tmpl w:val="37C542B2"/>
    <w:lvl w:ilvl="0">
      <w:start w:val="1"/>
      <w:numFmt w:val="japaneseCounting"/>
      <w:lvlText w:val="%1、"/>
      <w:lvlJc w:val="left"/>
      <w:pPr>
        <w:ind w:left="992" w:hanging="510"/>
      </w:pPr>
      <w:rPr>
        <w:rFonts w:eastAsia="宋体"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16cid:durableId="255093656">
    <w:abstractNumId w:val="0"/>
  </w:num>
  <w:num w:numId="2" w16cid:durableId="16287746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docVars>
    <w:docVar w:name="commondata" w:val="eyJoZGlkIjoiZmFhOTEwOTA4M2RhMmU1NGE4Zjg4ZmY1NTkwZWFmMjUifQ=="/>
  </w:docVars>
  <w:rsids>
    <w:rsidRoot w:val="001C1971"/>
    <w:rsid w:val="0000007A"/>
    <w:rsid w:val="00001B5B"/>
    <w:rsid w:val="00010B53"/>
    <w:rsid w:val="000117FA"/>
    <w:rsid w:val="00015ECA"/>
    <w:rsid w:val="00021F88"/>
    <w:rsid w:val="00023AB0"/>
    <w:rsid w:val="00035B6D"/>
    <w:rsid w:val="00037A2E"/>
    <w:rsid w:val="00050AEC"/>
    <w:rsid w:val="00082FF1"/>
    <w:rsid w:val="00084859"/>
    <w:rsid w:val="000905AB"/>
    <w:rsid w:val="00094129"/>
    <w:rsid w:val="000B3167"/>
    <w:rsid w:val="000C006E"/>
    <w:rsid w:val="000F45D3"/>
    <w:rsid w:val="000F71FA"/>
    <w:rsid w:val="00102875"/>
    <w:rsid w:val="00136DC2"/>
    <w:rsid w:val="001445DA"/>
    <w:rsid w:val="001C1971"/>
    <w:rsid w:val="00204F84"/>
    <w:rsid w:val="00215DD7"/>
    <w:rsid w:val="00237697"/>
    <w:rsid w:val="002512F2"/>
    <w:rsid w:val="00264B72"/>
    <w:rsid w:val="002663D9"/>
    <w:rsid w:val="002665EC"/>
    <w:rsid w:val="0028709D"/>
    <w:rsid w:val="00295751"/>
    <w:rsid w:val="002B4CE6"/>
    <w:rsid w:val="002D4343"/>
    <w:rsid w:val="002E40AF"/>
    <w:rsid w:val="002F0B8B"/>
    <w:rsid w:val="002F3AA6"/>
    <w:rsid w:val="002F3F3E"/>
    <w:rsid w:val="0030564F"/>
    <w:rsid w:val="0031319C"/>
    <w:rsid w:val="0035380E"/>
    <w:rsid w:val="00377697"/>
    <w:rsid w:val="00391E44"/>
    <w:rsid w:val="00392AF6"/>
    <w:rsid w:val="0039677A"/>
    <w:rsid w:val="003A0FD7"/>
    <w:rsid w:val="003B30F9"/>
    <w:rsid w:val="003C6F12"/>
    <w:rsid w:val="003D652D"/>
    <w:rsid w:val="004005B0"/>
    <w:rsid w:val="004240F0"/>
    <w:rsid w:val="00435909"/>
    <w:rsid w:val="00453F8D"/>
    <w:rsid w:val="004B46F1"/>
    <w:rsid w:val="004B56C3"/>
    <w:rsid w:val="004D05EE"/>
    <w:rsid w:val="004D285A"/>
    <w:rsid w:val="00525B9B"/>
    <w:rsid w:val="00546C9F"/>
    <w:rsid w:val="00550AA3"/>
    <w:rsid w:val="00555768"/>
    <w:rsid w:val="0059365C"/>
    <w:rsid w:val="005A6EF5"/>
    <w:rsid w:val="005B13B2"/>
    <w:rsid w:val="005F7B08"/>
    <w:rsid w:val="00602512"/>
    <w:rsid w:val="00605F70"/>
    <w:rsid w:val="006123BD"/>
    <w:rsid w:val="00647AAD"/>
    <w:rsid w:val="00666AC0"/>
    <w:rsid w:val="00695C8A"/>
    <w:rsid w:val="006A4054"/>
    <w:rsid w:val="006A5904"/>
    <w:rsid w:val="006C3335"/>
    <w:rsid w:val="006D28E6"/>
    <w:rsid w:val="006E4EB5"/>
    <w:rsid w:val="006E7F2E"/>
    <w:rsid w:val="00713B38"/>
    <w:rsid w:val="00716D2A"/>
    <w:rsid w:val="007205D4"/>
    <w:rsid w:val="00720891"/>
    <w:rsid w:val="00753EC9"/>
    <w:rsid w:val="00791143"/>
    <w:rsid w:val="007A4B64"/>
    <w:rsid w:val="007A6EC1"/>
    <w:rsid w:val="007C78B9"/>
    <w:rsid w:val="007D7840"/>
    <w:rsid w:val="007F7367"/>
    <w:rsid w:val="00844A75"/>
    <w:rsid w:val="00852083"/>
    <w:rsid w:val="00872310"/>
    <w:rsid w:val="008A1E38"/>
    <w:rsid w:val="008D1A07"/>
    <w:rsid w:val="008E73B2"/>
    <w:rsid w:val="00903D18"/>
    <w:rsid w:val="009078BB"/>
    <w:rsid w:val="0092426D"/>
    <w:rsid w:val="0092709E"/>
    <w:rsid w:val="00951C47"/>
    <w:rsid w:val="00954AFB"/>
    <w:rsid w:val="009618BF"/>
    <w:rsid w:val="0096218D"/>
    <w:rsid w:val="00964B16"/>
    <w:rsid w:val="009936AB"/>
    <w:rsid w:val="009A2906"/>
    <w:rsid w:val="009A514C"/>
    <w:rsid w:val="009B4725"/>
    <w:rsid w:val="009C08DA"/>
    <w:rsid w:val="009C333D"/>
    <w:rsid w:val="009D2E05"/>
    <w:rsid w:val="009F19C0"/>
    <w:rsid w:val="00A14861"/>
    <w:rsid w:val="00A22E73"/>
    <w:rsid w:val="00A329F7"/>
    <w:rsid w:val="00A369F1"/>
    <w:rsid w:val="00A56255"/>
    <w:rsid w:val="00A7221A"/>
    <w:rsid w:val="00A72D65"/>
    <w:rsid w:val="00A76DB0"/>
    <w:rsid w:val="00AE5E92"/>
    <w:rsid w:val="00B0520A"/>
    <w:rsid w:val="00B154D0"/>
    <w:rsid w:val="00B33BF1"/>
    <w:rsid w:val="00B3497B"/>
    <w:rsid w:val="00B45AE7"/>
    <w:rsid w:val="00B5017B"/>
    <w:rsid w:val="00C01246"/>
    <w:rsid w:val="00C149D5"/>
    <w:rsid w:val="00C223EE"/>
    <w:rsid w:val="00C50B12"/>
    <w:rsid w:val="00C731C6"/>
    <w:rsid w:val="00C870A4"/>
    <w:rsid w:val="00C923B3"/>
    <w:rsid w:val="00CD3464"/>
    <w:rsid w:val="00CE51C9"/>
    <w:rsid w:val="00D20D5B"/>
    <w:rsid w:val="00D418D7"/>
    <w:rsid w:val="00D42091"/>
    <w:rsid w:val="00D42375"/>
    <w:rsid w:val="00D92B72"/>
    <w:rsid w:val="00D92D8A"/>
    <w:rsid w:val="00D9431E"/>
    <w:rsid w:val="00DA1793"/>
    <w:rsid w:val="00DB3344"/>
    <w:rsid w:val="00DC0655"/>
    <w:rsid w:val="00DD1545"/>
    <w:rsid w:val="00DF5A59"/>
    <w:rsid w:val="00DF7A38"/>
    <w:rsid w:val="00E045F4"/>
    <w:rsid w:val="00E20101"/>
    <w:rsid w:val="00E21072"/>
    <w:rsid w:val="00E223F5"/>
    <w:rsid w:val="00E42EA4"/>
    <w:rsid w:val="00E476F5"/>
    <w:rsid w:val="00E66352"/>
    <w:rsid w:val="00E86919"/>
    <w:rsid w:val="00E95A59"/>
    <w:rsid w:val="00EA0E6F"/>
    <w:rsid w:val="00EA45A0"/>
    <w:rsid w:val="00EB7D2E"/>
    <w:rsid w:val="00ED4542"/>
    <w:rsid w:val="00ED6663"/>
    <w:rsid w:val="00EE0D56"/>
    <w:rsid w:val="00EE2BFC"/>
    <w:rsid w:val="00EF578C"/>
    <w:rsid w:val="00F06039"/>
    <w:rsid w:val="00F10349"/>
    <w:rsid w:val="00F379DE"/>
    <w:rsid w:val="00F4411B"/>
    <w:rsid w:val="00F52EE6"/>
    <w:rsid w:val="00F60ACD"/>
    <w:rsid w:val="00F707BF"/>
    <w:rsid w:val="00F770A2"/>
    <w:rsid w:val="00F91175"/>
    <w:rsid w:val="00F92653"/>
    <w:rsid w:val="00FB455B"/>
    <w:rsid w:val="062D0592"/>
    <w:rsid w:val="06907B34"/>
    <w:rsid w:val="0C6B2020"/>
    <w:rsid w:val="0CEF76F2"/>
    <w:rsid w:val="1C7114D7"/>
    <w:rsid w:val="1E8D27EC"/>
    <w:rsid w:val="24AC5E86"/>
    <w:rsid w:val="25215D4A"/>
    <w:rsid w:val="2DD66AA1"/>
    <w:rsid w:val="3D9910E3"/>
    <w:rsid w:val="48580610"/>
    <w:rsid w:val="488A4EC3"/>
    <w:rsid w:val="4C5F21E2"/>
    <w:rsid w:val="536C2A87"/>
    <w:rsid w:val="5452177E"/>
    <w:rsid w:val="556E3DBC"/>
    <w:rsid w:val="6B8DA268"/>
    <w:rsid w:val="6BA43AA1"/>
    <w:rsid w:val="791974F6"/>
    <w:rsid w:val="7DDB6D31"/>
    <w:rsid w:val="7DF771A2"/>
    <w:rsid w:val="AF5F59D5"/>
    <w:rsid w:val="BDFC24BB"/>
    <w:rsid w:val="FA7FD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61B5"/>
  <w15:docId w15:val="{33361391-EAE2-D641-9629-93124B8D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EastAsia"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qFormat/>
    <w:pPr>
      <w:framePr w:wrap="around" w:hAnchor="text" w:y="1"/>
      <w:widowControl w:val="0"/>
      <w:tabs>
        <w:tab w:val="center" w:pos="4153"/>
        <w:tab w:val="right" w:pos="8306"/>
      </w:tabs>
    </w:pPr>
    <w:rPr>
      <w:rFonts w:ascii="Times New Roman" w:eastAsia="Arial Unicode MS" w:hAnsi="Times New Roman" w:cs="Arial Unicode MS"/>
      <w:color w:val="000000"/>
      <w:kern w:val="2"/>
      <w:sz w:val="18"/>
      <w:szCs w:val="18"/>
      <w:u w:color="000000"/>
    </w:rPr>
  </w:style>
  <w:style w:type="paragraph" w:styleId="a5">
    <w:name w:val="header"/>
    <w:basedOn w:val="a0"/>
    <w:link w:val="a6"/>
    <w:qFormat/>
    <w:pPr>
      <w:framePr w:wrap="around"/>
      <w:pBdr>
        <w:bottom w:val="single" w:sz="6" w:space="1" w:color="auto"/>
      </w:pBdr>
      <w:tabs>
        <w:tab w:val="center" w:pos="4153"/>
        <w:tab w:val="right" w:pos="8306"/>
      </w:tabs>
      <w:snapToGrid w:val="0"/>
      <w:jc w:val="center"/>
    </w:pPr>
    <w:rPr>
      <w:sz w:val="18"/>
      <w:szCs w:val="18"/>
    </w:rPr>
  </w:style>
  <w:style w:type="paragraph" w:styleId="a7">
    <w:name w:val="Normal (Web)"/>
    <w:basedOn w:val="a0"/>
    <w:qFormat/>
    <w:pPr>
      <w:framePr w:wrap="around"/>
    </w:pPr>
    <w:rPr>
      <w:sz w:val="24"/>
    </w:rPr>
  </w:style>
  <w:style w:type="character" w:styleId="a8">
    <w:name w:val="Hyperlink"/>
    <w:qFormat/>
    <w:rPr>
      <w:u w:val="single"/>
    </w:rPr>
  </w:style>
  <w:style w:type="paragraph" w:customStyle="1" w:styleId="a">
    <w:name w:val="章标题"/>
    <w:next w:val="a9"/>
    <w:qFormat/>
    <w:pPr>
      <w:numPr>
        <w:numId w:val="1"/>
      </w:numPr>
      <w:spacing w:beforeLines="100" w:before="312" w:afterLines="100" w:after="312"/>
      <w:jc w:val="both"/>
      <w:outlineLvl w:val="1"/>
    </w:pPr>
    <w:rPr>
      <w:rFonts w:ascii="黑体" w:eastAsia="黑体" w:hAnsi="Times New Roman"/>
      <w:sz w:val="21"/>
    </w:rPr>
  </w:style>
  <w:style w:type="paragraph" w:customStyle="1" w:styleId="a9">
    <w:name w:val="段"/>
    <w:qFormat/>
    <w:pPr>
      <w:tabs>
        <w:tab w:val="center" w:pos="4201"/>
        <w:tab w:val="right" w:leader="dot" w:pos="9298"/>
      </w:tabs>
      <w:autoSpaceDE w:val="0"/>
      <w:autoSpaceDN w:val="0"/>
      <w:ind w:firstLineChars="200" w:firstLine="420"/>
      <w:jc w:val="both"/>
    </w:pPr>
    <w:rPr>
      <w:rFonts w:ascii="宋体" w:eastAsia="宋体" w:hAnsi="Times New Roman"/>
      <w:sz w:val="21"/>
    </w:rPr>
  </w:style>
  <w:style w:type="table" w:customStyle="1" w:styleId="TableNormal">
    <w:name w:val="Table Normal"/>
    <w:qFormat/>
    <w:tblPr>
      <w:tblCellMar>
        <w:top w:w="0" w:type="dxa"/>
        <w:left w:w="0" w:type="dxa"/>
        <w:bottom w:w="0" w:type="dxa"/>
        <w:right w:w="0" w:type="dxa"/>
      </w:tblCellMar>
    </w:tblPr>
  </w:style>
  <w:style w:type="paragraph" w:customStyle="1" w:styleId="aa">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a6">
    <w:name w:val="页眉 字符"/>
    <w:basedOn w:val="a1"/>
    <w:link w:val="a5"/>
    <w:qFormat/>
    <w:rPr>
      <w:rFonts w:ascii="Arial Unicode MS" w:eastAsia="Times New Roman" w:hAnsi="Arial Unicode MS" w:cs="Arial Unicode MS"/>
      <w:color w:val="000000"/>
      <w:kern w:val="2"/>
      <w:sz w:val="18"/>
      <w:szCs w:val="18"/>
      <w:u w:color="000000"/>
    </w:rPr>
  </w:style>
  <w:style w:type="paragraph" w:customStyle="1" w:styleId="10">
    <w:name w:val="列表段落1"/>
    <w:basedOn w:val="a0"/>
    <w:uiPriority w:val="99"/>
    <w:qFormat/>
    <w:pPr>
      <w:framePr w:wrap="around"/>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943</Words>
  <Characters>5376</Characters>
  <Application>Microsoft Office Word</Application>
  <DocSecurity>0</DocSecurity>
  <Lines>44</Lines>
  <Paragraphs>12</Paragraphs>
  <ScaleCrop>false</ScaleCrop>
  <Company>Hewlett-Packard Company</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Shuo Yang</cp:lastModifiedBy>
  <cp:revision>3</cp:revision>
  <cp:lastPrinted>2019-06-17T19:57:00Z</cp:lastPrinted>
  <dcterms:created xsi:type="dcterms:W3CDTF">2026-08-10T00:53:00Z</dcterms:created>
  <dcterms:modified xsi:type="dcterms:W3CDTF">2026-08-10T00:56:00Z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2EF287012E7042D7A7353FC2216727C2_12</vt:lpwstr>
  </property>
</Properties>
</file>