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BBE219E">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681C6477">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244720AB">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57BD0820">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3552D3A0">
      <w:pPr>
        <w:framePr w:wrap="auto" w:vAnchor="margin" w:hAnchor="text" w:yAlign="inline"/>
        <w:spacing w:before="120" w:beforeLines="50" w:after="120" w:afterLines="50" w:line="300" w:lineRule="auto"/>
        <w:jc w:val="center"/>
        <w:outlineLvl w:val="0"/>
        <w:rPr>
          <w:rFonts w:ascii="黑体" w:hAnsi="黑体" w:eastAsia="黑体" w:cs="宋体"/>
          <w:sz w:val="48"/>
          <w:szCs w:val="48"/>
          <w:lang w:val="zh-TW"/>
        </w:rPr>
      </w:pPr>
      <w:r>
        <w:rPr>
          <w:rFonts w:hint="eastAsia" w:ascii="黑体" w:hAnsi="黑体" w:eastAsia="黑体" w:cs="宋体"/>
          <w:sz w:val="48"/>
          <w:szCs w:val="48"/>
          <w:lang w:val="zh-TW"/>
        </w:rPr>
        <w:t>《智慧会展  场馆数字化系统建设与运行维护通用要求》</w:t>
      </w:r>
    </w:p>
    <w:p w14:paraId="09EDA2D2">
      <w:pPr>
        <w:framePr w:wrap="auto" w:vAnchor="margin" w:hAnchor="text" w:yAlign="inline"/>
        <w:spacing w:before="120" w:beforeLines="50" w:after="120" w:afterLines="50" w:line="300" w:lineRule="auto"/>
        <w:jc w:val="center"/>
        <w:outlineLvl w:val="0"/>
        <w:rPr>
          <w:rFonts w:ascii="黑体" w:hAnsi="黑体" w:eastAsia="黑体" w:cs="宋体"/>
          <w:sz w:val="48"/>
          <w:szCs w:val="48"/>
          <w:lang w:val="zh-TW"/>
        </w:rPr>
      </w:pPr>
      <w:r>
        <w:rPr>
          <w:rFonts w:ascii="黑体" w:hAnsi="黑体" w:eastAsia="黑体" w:cs="宋体"/>
          <w:sz w:val="48"/>
          <w:szCs w:val="48"/>
          <w:lang w:val="zh-TW"/>
        </w:rPr>
        <w:t>团体标准编制说明</w:t>
      </w:r>
    </w:p>
    <w:p w14:paraId="7C8C1B0B">
      <w:pPr>
        <w:framePr w:wrap="auto" w:vAnchor="margin" w:hAnchor="text" w:yAlign="inline"/>
        <w:spacing w:before="120" w:beforeLines="50" w:after="120" w:afterLines="50" w:line="300" w:lineRule="auto"/>
        <w:jc w:val="center"/>
        <w:outlineLvl w:val="0"/>
        <w:rPr>
          <w:rFonts w:ascii="黑体" w:hAnsi="黑体" w:eastAsia="黑体" w:cs="宋体"/>
          <w:sz w:val="48"/>
          <w:szCs w:val="48"/>
          <w:lang w:val="zh-TW"/>
        </w:rPr>
      </w:pPr>
      <w:r>
        <w:rPr>
          <w:rFonts w:ascii="黑体" w:hAnsi="黑体" w:eastAsia="黑体" w:cs="宋体"/>
          <w:sz w:val="48"/>
          <w:szCs w:val="48"/>
          <w:lang w:val="zh-TW"/>
        </w:rPr>
        <w:t>（</w:t>
      </w:r>
      <w:r>
        <w:rPr>
          <w:rFonts w:ascii="黑体" w:hAnsi="黑体" w:eastAsia="黑体" w:cs="宋体"/>
          <w:sz w:val="48"/>
          <w:szCs w:val="48"/>
        </w:rPr>
        <w:t>征求意见</w:t>
      </w:r>
      <w:r>
        <w:rPr>
          <w:rFonts w:ascii="黑体" w:hAnsi="黑体" w:eastAsia="黑体" w:cs="宋体"/>
          <w:sz w:val="48"/>
          <w:szCs w:val="48"/>
          <w:lang w:val="zh-TW"/>
        </w:rPr>
        <w:t>稿）</w:t>
      </w:r>
    </w:p>
    <w:p w14:paraId="25F65D26">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776040DC">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42A531C1">
      <w:pPr>
        <w:framePr w:wrap="auto" w:vAnchor="margin" w:hAnchor="text" w:yAlign="inline"/>
        <w:spacing w:before="120" w:beforeLines="50" w:after="120" w:afterLines="50" w:line="300" w:lineRule="auto"/>
        <w:outlineLvl w:val="0"/>
        <w:rPr>
          <w:rFonts w:ascii="宋体" w:hAnsi="宋体" w:eastAsia="宋体" w:cs="宋体"/>
          <w:b/>
          <w:bCs/>
          <w:sz w:val="48"/>
          <w:szCs w:val="48"/>
          <w:lang w:val="zh-TW"/>
        </w:rPr>
      </w:pPr>
    </w:p>
    <w:p w14:paraId="5672A070">
      <w:pPr>
        <w:framePr w:wrap="auto" w:vAnchor="margin" w:hAnchor="text" w:yAlign="inline"/>
        <w:spacing w:before="120" w:beforeLines="50" w:after="120" w:afterLines="50" w:line="300" w:lineRule="auto"/>
        <w:outlineLvl w:val="0"/>
        <w:rPr>
          <w:rFonts w:ascii="宋体" w:hAnsi="宋体" w:eastAsia="宋体" w:cs="宋体"/>
          <w:b/>
          <w:bCs/>
          <w:sz w:val="48"/>
          <w:szCs w:val="48"/>
          <w:lang w:val="zh-TW"/>
        </w:rPr>
      </w:pPr>
    </w:p>
    <w:p w14:paraId="0681D50A">
      <w:pPr>
        <w:framePr w:wrap="auto" w:vAnchor="margin" w:hAnchor="text" w:yAlign="inline"/>
        <w:spacing w:before="120" w:beforeLines="50" w:after="120" w:afterLines="50" w:line="300" w:lineRule="auto"/>
        <w:jc w:val="center"/>
        <w:outlineLvl w:val="0"/>
        <w:rPr>
          <w:rFonts w:ascii="宋体" w:hAnsi="宋体" w:eastAsia="宋体" w:cs="宋体"/>
          <w:b/>
          <w:bCs/>
          <w:sz w:val="48"/>
          <w:szCs w:val="48"/>
          <w:lang w:val="zh-TW"/>
        </w:rPr>
      </w:pPr>
    </w:p>
    <w:p w14:paraId="69FD1EDD">
      <w:pPr>
        <w:framePr w:wrap="auto" w:vAnchor="margin" w:hAnchor="text" w:yAlign="inline"/>
        <w:spacing w:before="120" w:beforeLines="50" w:after="120" w:afterLines="50" w:line="300" w:lineRule="auto"/>
        <w:jc w:val="both"/>
        <w:outlineLvl w:val="0"/>
        <w:rPr>
          <w:rFonts w:ascii="宋体" w:hAnsi="宋体" w:eastAsia="宋体" w:cs="宋体"/>
          <w:b/>
          <w:bCs/>
          <w:sz w:val="48"/>
          <w:szCs w:val="48"/>
          <w:lang w:val="zh-TW"/>
        </w:rPr>
      </w:pPr>
    </w:p>
    <w:p w14:paraId="2E95E252">
      <w:pPr>
        <w:framePr w:wrap="auto" w:vAnchor="margin" w:hAnchor="text" w:yAlign="inline"/>
        <w:spacing w:before="120" w:beforeLines="50" w:after="120" w:afterLines="50" w:line="300" w:lineRule="auto"/>
        <w:jc w:val="center"/>
        <w:outlineLvl w:val="0"/>
        <w:rPr>
          <w:rFonts w:ascii="宋体" w:hAnsi="宋体" w:eastAsia="宋体" w:cs="宋体"/>
          <w:b/>
          <w:bCs/>
          <w:sz w:val="28"/>
          <w:szCs w:val="28"/>
          <w:lang w:val="zh-TW"/>
        </w:rPr>
      </w:pPr>
      <w:r>
        <w:rPr>
          <w:rFonts w:hint="eastAsia" w:ascii="宋体" w:hAnsi="宋体" w:eastAsia="宋体" w:cs="宋体"/>
          <w:b/>
          <w:bCs/>
          <w:sz w:val="28"/>
          <w:szCs w:val="28"/>
          <w:lang w:val="en-US" w:eastAsia="zh-CN"/>
        </w:rPr>
        <w:t>标准起草工作组</w:t>
      </w:r>
    </w:p>
    <w:p w14:paraId="47183C0E">
      <w:pPr>
        <w:framePr w:wrap="auto" w:vAnchor="margin" w:hAnchor="text" w:yAlign="inline"/>
        <w:spacing w:before="120" w:beforeLines="50" w:after="120" w:afterLines="50" w:line="300" w:lineRule="auto"/>
        <w:jc w:val="center"/>
        <w:outlineLvl w:val="0"/>
        <w:rPr>
          <w:rFonts w:ascii="宋体" w:hAnsi="宋体" w:eastAsia="宋体" w:cs="宋体"/>
          <w:sz w:val="28"/>
          <w:szCs w:val="28"/>
          <w:lang w:val="zh-TW" w:eastAsia="zh-TW"/>
        </w:rPr>
      </w:pPr>
      <w:r>
        <w:rPr>
          <w:rFonts w:ascii="宋体" w:hAnsi="宋体" w:eastAsia="宋体" w:cs="宋体"/>
          <w:sz w:val="28"/>
          <w:szCs w:val="28"/>
          <w:lang w:val="zh-TW" w:eastAsia="zh-TW"/>
        </w:rPr>
        <w:t>二〇</w:t>
      </w:r>
      <w:r>
        <w:rPr>
          <w:rFonts w:hint="eastAsia" w:ascii="宋体" w:hAnsi="宋体" w:eastAsia="宋体" w:cs="宋体"/>
          <w:sz w:val="28"/>
          <w:szCs w:val="28"/>
          <w:lang w:val="en-US" w:eastAsia="zh-CN"/>
        </w:rPr>
        <w:t>二六</w:t>
      </w:r>
      <w:r>
        <w:rPr>
          <w:rFonts w:ascii="宋体" w:hAnsi="宋体" w:eastAsia="宋体" w:cs="宋体"/>
          <w:sz w:val="28"/>
          <w:szCs w:val="28"/>
          <w:lang w:val="zh-TW" w:eastAsia="zh-TW"/>
        </w:rPr>
        <w:t>年</w:t>
      </w:r>
      <w:r>
        <w:rPr>
          <w:rFonts w:hint="eastAsia" w:ascii="宋体" w:hAnsi="宋体" w:eastAsia="宋体" w:cs="宋体"/>
          <w:sz w:val="28"/>
          <w:szCs w:val="28"/>
          <w:lang w:val="en-US" w:eastAsia="zh-CN"/>
        </w:rPr>
        <w:t>七</w:t>
      </w:r>
      <w:r>
        <w:rPr>
          <w:rFonts w:ascii="宋体" w:hAnsi="宋体" w:eastAsia="宋体" w:cs="宋体"/>
          <w:sz w:val="28"/>
          <w:szCs w:val="28"/>
          <w:lang w:val="zh-TW" w:eastAsia="zh-TW"/>
        </w:rPr>
        <w:t>月</w:t>
      </w:r>
      <w:r>
        <w:rPr>
          <w:rFonts w:hint="eastAsia" w:ascii="宋体" w:hAnsi="宋体" w:eastAsia="宋体" w:cs="宋体"/>
          <w:sz w:val="28"/>
          <w:szCs w:val="28"/>
          <w:lang w:val="en-US" w:eastAsia="zh-CN"/>
        </w:rPr>
        <w:t>三十</w:t>
      </w:r>
      <w:r>
        <w:rPr>
          <w:rFonts w:ascii="宋体" w:hAnsi="宋体" w:eastAsia="宋体" w:cs="宋体"/>
          <w:sz w:val="28"/>
          <w:szCs w:val="28"/>
          <w:lang w:val="zh-TW" w:eastAsia="zh-TW"/>
        </w:rPr>
        <w:t>日</w:t>
      </w:r>
    </w:p>
    <w:p w14:paraId="07C4BDE1">
      <w:pPr>
        <w:framePr w:wrap="auto" w:vAnchor="margin" w:hAnchor="text" w:yAlign="inline"/>
        <w:spacing w:line="300" w:lineRule="auto"/>
        <w:jc w:val="center"/>
        <w:outlineLvl w:val="0"/>
        <w:rPr>
          <w:rFonts w:ascii="宋体" w:hAnsi="宋体" w:eastAsia="宋体" w:cs="宋体"/>
          <w:b/>
          <w:bCs/>
          <w:sz w:val="32"/>
          <w:szCs w:val="32"/>
          <w:lang w:val="zh-TW" w:eastAsia="zh-TW"/>
        </w:rPr>
        <w:sectPr>
          <w:headerReference r:id="rId3" w:type="default"/>
          <w:footerReference r:id="rId4" w:type="default"/>
          <w:pgSz w:w="11900" w:h="16840"/>
          <w:pgMar w:top="1440" w:right="1800" w:bottom="1440" w:left="1800" w:header="851" w:footer="992" w:gutter="0"/>
          <w:pgNumType w:start="1"/>
          <w:cols w:space="720" w:num="1"/>
        </w:sectPr>
      </w:pPr>
    </w:p>
    <w:p w14:paraId="21B51D95">
      <w:pPr>
        <w:framePr w:wrap="auto" w:vAnchor="margin" w:hAnchor="text" w:yAlign="inline"/>
        <w:spacing w:line="300" w:lineRule="auto"/>
        <w:jc w:val="center"/>
        <w:outlineLvl w:val="0"/>
        <w:rPr>
          <w:rFonts w:hint="default"/>
          <w:b/>
          <w:bCs/>
          <w:sz w:val="32"/>
          <w:szCs w:val="32"/>
          <w:lang w:val="zh-TW"/>
        </w:rPr>
      </w:pPr>
      <w:r>
        <w:rPr>
          <w:rFonts w:hint="eastAsia" w:ascii="宋体" w:hAnsi="宋体" w:eastAsia="宋体" w:cs="宋体"/>
          <w:b/>
          <w:bCs/>
          <w:sz w:val="32"/>
          <w:szCs w:val="32"/>
          <w:lang w:val="zh-TW"/>
        </w:rPr>
        <w:t>《智慧会展  场馆数字化系统建设与运行维护通用要求》</w:t>
      </w:r>
      <w:r>
        <w:rPr>
          <w:rFonts w:ascii="宋体" w:hAnsi="宋体" w:eastAsia="宋体" w:cs="宋体"/>
          <w:b/>
          <w:bCs/>
          <w:sz w:val="32"/>
          <w:szCs w:val="32"/>
          <w:lang w:val="zh-TW"/>
        </w:rPr>
        <w:t>团体标准编制说明</w:t>
      </w:r>
    </w:p>
    <w:p w14:paraId="3C3CA37D">
      <w:pPr>
        <w:framePr w:wrap="auto" w:vAnchor="margin" w:hAnchor="text" w:yAlign="inline"/>
        <w:spacing w:line="360" w:lineRule="auto"/>
        <w:ind w:firstLine="482"/>
        <w:rPr>
          <w:rFonts w:ascii="宋体" w:hAnsi="宋体" w:eastAsia="宋体" w:cs="宋体"/>
          <w:b/>
          <w:bCs/>
          <w:kern w:val="0"/>
          <w:sz w:val="24"/>
          <w:szCs w:val="24"/>
        </w:rPr>
      </w:pPr>
    </w:p>
    <w:p w14:paraId="45EC4045">
      <w:pPr>
        <w:pStyle w:val="12"/>
        <w:framePr w:wrap="auto" w:vAnchor="margin" w:hAnchor="text" w:yAlign="inline"/>
        <w:numPr>
          <w:ilvl w:val="0"/>
          <w:numId w:val="0"/>
        </w:numPr>
        <w:spacing w:line="360" w:lineRule="auto"/>
        <w:ind w:left="482" w:leftChars="0"/>
        <w:rPr>
          <w:rFonts w:hint="eastAsia" w:ascii="宋体" w:hAnsi="宋体" w:eastAsia="宋体" w:cs="宋体"/>
          <w:color w:val="auto"/>
          <w:sz w:val="24"/>
          <w:szCs w:val="24"/>
          <w:lang w:val="zh-TW" w:eastAsia="zh-TW"/>
        </w:rPr>
      </w:pPr>
      <w:r>
        <w:rPr>
          <w:rFonts w:hint="eastAsia" w:ascii="宋体" w:hAnsi="宋体" w:eastAsia="宋体" w:cs="宋体"/>
          <w:b/>
          <w:bCs/>
          <w:color w:val="auto"/>
          <w:kern w:val="0"/>
          <w:sz w:val="24"/>
          <w:szCs w:val="24"/>
          <w:u w:color="0000FF"/>
          <w:lang w:val="en-US" w:eastAsia="zh-CN"/>
        </w:rPr>
        <w:t>一、</w:t>
      </w:r>
      <w:r>
        <w:rPr>
          <w:rFonts w:hint="eastAsia" w:ascii="宋体" w:hAnsi="宋体" w:eastAsia="宋体" w:cs="宋体"/>
          <w:b/>
          <w:bCs/>
          <w:color w:val="auto"/>
          <w:kern w:val="0"/>
          <w:sz w:val="24"/>
          <w:szCs w:val="24"/>
          <w:u w:color="0000FF"/>
          <w:lang w:val="zh-TW" w:eastAsia="zh-TW"/>
        </w:rPr>
        <w:t>工作简况</w:t>
      </w:r>
    </w:p>
    <w:p w14:paraId="13C354CE">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（一）任务来源</w:t>
      </w:r>
    </w:p>
    <w:p w14:paraId="75F8CF69">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2025年11月，按照《中国贸促会商业行业委员会关于下达2025年第九批团体标准项目计划的通知》（商贸促字〔2025〕287号），中国国际贸易促进委员会商业行业委员会正式立项《智慧会展场馆数字化系统建设及运维规范》团体标准，明确标准的制定范围、标准框架和工作进度安排。</w:t>
      </w:r>
    </w:p>
    <w:p w14:paraId="2C54CFFB">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在标准研制过程中，起草组结合会展场馆数字化建设与运行维护实际，对标准名称、适用范围和技术内容进行研究论证，将标准名称调整为《智慧会展 场馆数字化系统建设与运行维护通用要求》。</w:t>
      </w:r>
    </w:p>
    <w:p w14:paraId="013C6711">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（二）制定背景</w:t>
      </w:r>
    </w:p>
    <w:p w14:paraId="3A19DAB1">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会展业是现代服务业的重要组成部分，是促进贸易投资、推动产业协同、扩大服务消费、展示城市形象和服务高水平对外开放的重要平台。会展场馆既是承载展览、会议及相关活动的实体空间，也是连接主办方、参展商、服务商和观众等多元主体的运营枢纽，其数字化水平直接影响场馆资源配置、服务供给、运行效率和安全保障能力。</w:t>
      </w:r>
    </w:p>
    <w:p w14:paraId="613D0113">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2026年印发的《国务院关于推进服务业扩能提质的意见》提出推进服务业数智化转型、加快服务业标准化建设，打造数据、算法、场景协同应用标杆；商务部、市场监管总局联合印发的《服务贸易标准化工作行动计划（2026—2030年）》提出加强服务贸易领域标准布局研究，立足服务贸易数字化等方面完善标准体系，推动标准与服务、技术和应用场景创新紧密融合。相关政策为会展业数字化、标准化发展提供了明确的政策导向。</w:t>
      </w:r>
    </w:p>
    <w:p w14:paraId="63B98ACB">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随着新一代信息技术在会展场景中的持续发展，会展场馆数字化建设正在由单一设施设备的自动化和智能化，向系统集成、数据治理、业务协同、智能决策和全生命周期管理演进。由于场馆在功能定位、建设规模、活动频次、运营强度和数字化基础等方面存在差异，其信息基础设施、业务应用、平台支撑、智能服务、安全保障及运行维护能力呈现出明显差异。部分场馆仍存在数字化系统缺乏统筹规划、系统间接口和数据标准不统一、信息资源共享程度不足、跨系统业务协同能力较弱，以及系统配置与实际运营需求不相适应等问题，制约了数字化建设综合效能的发挥。因此，有必要建立层次清晰、分级适用、建设与运行维护相衔接的通用技术规范。</w:t>
      </w:r>
    </w:p>
    <w:p w14:paraId="1334899D">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本文件旨在构建以能力分级为主线，以基础设施层、平台层、应用层和交互层为架构，以全生命周期管理为实施路径的会展场馆数字化技术框架，明确不同等级场馆的能力要求和系统配置基准，规范数字化系统的规划设计、建设实施、运行维护、数据治理、接口集成、安全保障及持续改进等活动，为各类会展场馆开展新建、改建、扩建和专项升级提供技术依据。</w:t>
      </w:r>
    </w:p>
    <w:p w14:paraId="4554D74C">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（三）起草过程</w:t>
      </w:r>
    </w:p>
    <w:p w14:paraId="65968670">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zh-TW" w:eastAsia="zh-TW"/>
        </w:rPr>
        <w:t>立项阶段</w:t>
      </w:r>
    </w:p>
    <w:p w14:paraId="2DC39571">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2025年11月，按照《中国贸促会商业行业委员会关于下达2025年第九批团体标准项目计划的通知》（商贸促字〔2025〕287号），中国国际贸易促进委员会商业行业委员会正式立项《智慧会展场馆数字化系统建设及运维规范》团体标准，明确标准的制定范围、标准框架和工作进度安排。</w:t>
      </w:r>
    </w:p>
    <w:p w14:paraId="1FB75679">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2.起草阶段</w:t>
      </w:r>
    </w:p>
    <w:p w14:paraId="21B88997">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2025年12月至2026年5月，起草组围绕会展场馆数字化建设与运行维护实际，梳理智慧会展、场馆功能设计、信息技术服务、数据治理、物联网、网络安全和个人信息保护等相关标准规范及行业实践。2026年3月至5月，面向不同区域、不同规模和不同类型的会展场馆开展问卷调研，共回收有效问卷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zh-TW" w:eastAsia="zh-TW"/>
        </w:rPr>
        <w:t>份，分析场馆在数字基础设施、平台建设、业务应用、数据治理、运行维护和安全保障等方面的现状与需求，并于2026年5月形成《智慧会展场馆数字化建设与运维情况调研报告》，为标准研制奠定基础。</w:t>
      </w:r>
    </w:p>
    <w:p w14:paraId="09BB867E">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2026年5月，由中国国际贸易促进委员会商业行业委员会组织，北京北辰实业股份有限公司牵头，相关会展场馆、会展企业和技术服务单位共同参与起草。起草组按照GB/T 1.1—2020《标准化工作导则 第1部分：标准化文件的结构和起草规则》的有关要求，结合调研问卷、调研结果、场馆建设运营实际和相关标准要求，搭建标准框架，形成标准草案。</w:t>
      </w:r>
    </w:p>
    <w:p w14:paraId="75F55C47">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2026年6月1日，起草组组织召开第一次外部研讨会，邀请相关会展场馆、会展企业、技术服务单位及有关专家，对标准的适用范围、总体框架、场馆分级、数字化系统架构、系统配置和建设运行维护要求等内容进行研讨。根据会议意见，起草组进一步明确基础设施层、平台层、应用层和交互层四层架构，优化系统和能力配置项目，对标准草案进行修改完善。</w:t>
      </w:r>
    </w:p>
    <w:p w14:paraId="66269E03">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2026年7月3日，起草组召开内部研讨会，对标准草案进行逐章、逐条梳理，</w:t>
      </w:r>
      <w:r>
        <w:rPr>
          <w:rFonts w:hint="eastAsia" w:ascii="宋体" w:hAnsi="宋体" w:eastAsia="宋体" w:cs="宋体"/>
          <w:color w:val="auto"/>
          <w:sz w:val="24"/>
          <w:szCs w:val="24"/>
          <w:lang w:val="en-US" w:eastAsia="zh-CN"/>
        </w:rPr>
        <w:t>重点研究</w:t>
      </w:r>
      <w:r>
        <w:rPr>
          <w:rFonts w:hint="eastAsia" w:ascii="宋体" w:hAnsi="宋体" w:eastAsia="宋体" w:cs="宋体"/>
          <w:color w:val="auto"/>
          <w:sz w:val="24"/>
          <w:szCs w:val="24"/>
          <w:lang w:val="zh-TW" w:eastAsia="zh-TW"/>
        </w:rPr>
        <w:t>系统建设、运行维护、数据治理、接口集成、网络安全和数据安全等内容，并对相关术语、条款表述和系统名称进行统一。</w:t>
      </w:r>
    </w:p>
    <w:p w14:paraId="556DABE9">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2026年7月22日，起草组组织召开第二次外部研讨会，邀请相关会展场馆、会展企业、技术服务单位及行业专家，对修改后的标准草案进行集中研讨，重点论证智慧会展场馆五级划分的适用性、四层系统架构的完整性、分级配置要求的合理性以及标准实施的可操作性。起草组根据会议意见，对标准结构、系统配置矩阵和相关技术条款作进一步修改。</w:t>
      </w:r>
    </w:p>
    <w:p w14:paraId="1767CFBF">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en-US" w:eastAsia="zh-CN"/>
        </w:rPr>
        <w:t>3.</w:t>
      </w:r>
      <w:bookmarkStart w:id="0" w:name="_GoBack"/>
      <w:bookmarkEnd w:id="0"/>
      <w:r>
        <w:rPr>
          <w:rFonts w:hint="eastAsia" w:ascii="宋体" w:hAnsi="宋体" w:eastAsia="宋体" w:cs="宋体"/>
          <w:color w:val="auto"/>
          <w:sz w:val="24"/>
          <w:szCs w:val="24"/>
          <w:lang w:val="zh-TW" w:eastAsia="zh-TW"/>
        </w:rPr>
        <w:t>征求意见阶段</w:t>
      </w:r>
    </w:p>
    <w:p w14:paraId="3765D2F6">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2026年7月，起草组在前期调研、内部研讨和两次外部研讨的基础上形成标准征求意见稿，并启动公开征求意见工作，征求意见期限至2026年8月29日。征求意见采取线上线下相结合的方式，面向相关会展场馆、会展企业、技术服务单位、行业组织及有关专家广泛征求意见，进一步提高标准的科学性、合理性和可操作性。</w:t>
      </w:r>
    </w:p>
    <w:p w14:paraId="48A64061">
      <w:pPr>
        <w:framePr w:wrap="auto" w:vAnchor="margin" w:hAnchor="text" w:yAlign="inline"/>
        <w:spacing w:line="360" w:lineRule="auto"/>
        <w:ind w:firstLine="480"/>
        <w:rPr>
          <w:rFonts w:hint="eastAsia" w:ascii="宋体" w:hAnsi="宋体" w:eastAsia="宋体" w:cs="宋体"/>
          <w:color w:val="auto"/>
          <w:sz w:val="24"/>
          <w:szCs w:val="24"/>
          <w:lang w:val="zh-TW" w:eastAsia="zh-TW"/>
        </w:rPr>
      </w:pPr>
    </w:p>
    <w:p w14:paraId="252B8BE2">
      <w:pPr>
        <w:pStyle w:val="12"/>
        <w:framePr w:wrap="auto" w:vAnchor="margin" w:hAnchor="text" w:yAlign="inline"/>
        <w:numPr>
          <w:ilvl w:val="0"/>
          <w:numId w:val="0"/>
        </w:numPr>
        <w:spacing w:line="360" w:lineRule="auto"/>
        <w:ind w:left="482" w:leftChars="0"/>
        <w:rPr>
          <w:rFonts w:hint="cs" w:ascii="宋体" w:hAnsi="宋体" w:eastAsia="宋体" w:cs="宋体"/>
          <w:b/>
          <w:bCs/>
          <w:color w:val="auto"/>
          <w:kern w:val="0"/>
          <w:sz w:val="24"/>
          <w:szCs w:val="24"/>
          <w:u w:color="0000FF"/>
          <w:lang w:val="zh-TW"/>
        </w:rPr>
      </w:pPr>
      <w:r>
        <w:rPr>
          <w:rFonts w:hint="cs" w:ascii="宋体" w:hAnsi="宋体" w:eastAsia="宋体" w:cs="宋体"/>
          <w:b/>
          <w:bCs/>
          <w:color w:val="auto"/>
          <w:kern w:val="0"/>
          <w:sz w:val="24"/>
          <w:szCs w:val="24"/>
          <w:u w:color="0000FF"/>
          <w:lang w:val="zh-TW"/>
        </w:rPr>
        <w:t>二、标准编制原则、主要内容及其确定依据</w:t>
      </w:r>
    </w:p>
    <w:p w14:paraId="21D4C5FF">
      <w:pPr>
        <w:pStyle w:val="12"/>
        <w:framePr w:wrap="auto" w:vAnchor="margin" w:hAnchor="text" w:yAlign="inline"/>
        <w:numPr>
          <w:ilvl w:val="0"/>
          <w:numId w:val="0"/>
        </w:numPr>
        <w:spacing w:line="360" w:lineRule="auto"/>
        <w:ind w:left="482" w:leftChars="0"/>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（一）编制原则</w:t>
      </w:r>
    </w:p>
    <w:p w14:paraId="04EA301B">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本文件遵循统筹规划、需求导向、架构清晰、标准统一、以人为本的原则，坚持顶层设计与分步实施相结合、系统建设与运行维护相衔接、基础能力与智慧化应用相协调。标准既衔接国家有关服务业扩能提质、数字化转型和服务贸易标准化等政策要求，又充分考虑不同类型、不同规模和不同运营强度会展场馆的实际需求，兼顾通用性与先进性、规范性与可操作性、安全性与可持续性。</w:t>
      </w:r>
    </w:p>
    <w:p w14:paraId="44FA502F">
      <w:pPr>
        <w:pStyle w:val="12"/>
        <w:keepNext w:val="0"/>
        <w:keepLines w:val="0"/>
        <w:pageBreakBefore w:val="0"/>
        <w:framePr w:wrap="auto" w:vAnchor="margin" w:hAnchor="text" w:yAlign="inline"/>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主要技术内容</w:t>
      </w:r>
    </w:p>
    <w:p w14:paraId="7C8C9642">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本文件共分为11章及参考文献，主要内容包括：</w:t>
      </w:r>
    </w:p>
    <w:p w14:paraId="2161FC0F">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范围：明确本文件确立了智慧会展场馆数字化系统建设与运行维护的基本原则，规定了智慧会展场馆分级，以及场馆数字化系统组成及配置、建设、运行维护、数据治理与接口集成、网络安全与数据安全和持续改进等要求。本文件适用于各类会展场馆的数字化系统建设与运行维护，与会展场馆配套的餐饮、停车、仓储和物流等相关服务设施可参照使用。</w:t>
      </w:r>
    </w:p>
    <w:p w14:paraId="56BA9D65">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规范性引用文件：列出标准实施所需引用的相关标准文件，包括GB/T 8566《系统与软件工程 软件生存周期过程》、GB/T 20157《信息技术 软件维护》、GB/T 22239《信息安全技术 网络安全等级保护基本要求》、GB/T 25058《信息安全技术 网络安全等级保护实施指南》、GB/T 28827.1《信息技术服务 运行维护 第1部分：通用要求》、GB/T 34960.5《信息技术服务 治理 第5部分：数据治理规范》、GB/T 35273《信息安全技术 个人信息安全规范》、GB/T 38634.2《系统与软件工程 软件测试 第2部分：测试过程》、GB/T 39786《信息安全技术 信息系统密码应用基本要求》和ISO/IEC 20924等，为系统建设、运行维护、数据治理、物联网应用及安全保障等要求提供依据。</w:t>
      </w:r>
    </w:p>
    <w:p w14:paraId="7F58C97E">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术语和定义：界定智慧会展、智慧会展场馆、场馆数字化系统、运行维护、智慧运营中心和外部接口等术语，统一相关概念及其技术边界。</w:t>
      </w:r>
    </w:p>
    <w:p w14:paraId="3DE37C47">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基本原则：提出统筹规划、顶层设计优先，需求导向、因地制宜，架构清晰、协同联动，统一标准、接口清晰，以及以人为本、绿色低碳等五项基本原则，为场馆数字化系统建设与运行维护提供总体遵循。</w:t>
      </w:r>
    </w:p>
    <w:p w14:paraId="5A375BB0">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智慧会展场馆分级：根据场馆数字化能力，并结合主要适用情形、建筑总面积、单场最大接待能力和管理能力要求，将智慧会展场馆由低到高划分为一级、二级、三级、四级和五级。各等级按照能力递进、逐级涵盖的原则设置，场馆等级按其完整满足的最高等级确定。建筑总面积和单场最大接待能力用于表征各等级的典型适用情形，不作为等级判定的必要条件或单一依据。</w:t>
      </w:r>
    </w:p>
    <w:p w14:paraId="2C806C79">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场馆数字化系统组成及配置要求：建立基础设施层、平台层、应用层和交互层四层系统架构，共设置52项系统和能力。其中，基础设施层15项、平台层6项、应用层20项、交互层11项。系统配置采用“√”“○”“×”三种符号，分别表示应配置、根据实际情况选择配置和不作配置要求。高等级场馆应满足低等级场馆的应配置项；同一系统或能力可独立建设，也可通过集成方式实现，但应明确功能边界、数据归属、调用关系、权限控制、接口要求和运行维护责任。</w:t>
      </w:r>
    </w:p>
    <w:p w14:paraId="0C85053D">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场馆数字化系统建设要求：规定总体设计、智慧化能力设计、关键指标设计、系统部署、测试与试运行、项目验收、资料移交和人员培训等要求。系统测试涵盖功能、接口、集成、性能、稳定性和安全等内容；试运行应覆盖主要业务场景、关键时段和关键保障环节，并对发现的问题进行整改和验证。</w:t>
      </w:r>
    </w:p>
    <w:p w14:paraId="3A43FB54">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场馆数字化系统运行维护要求：规定运行维护组织与资源、人员能力、制度流程、资产设备、备品备件、运行监测、巡检保养、工单管理、软件维护、告警处置、应急联动、重大活动保障、运行维护记录和绩效评价等内容，推动形成职责明确、监测预警、快速响应、闭环处置和持续改进的运行维护机制。</w:t>
      </w:r>
    </w:p>
    <w:p w14:paraId="73FEE122">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数据治理与接口集成要求：围绕数据采集、存储、处理和使用、归档和删除、日志与审计等环节规定数据全生命周期管理要求，明确数据标准、元数据管理、数据质量、数据资源目录和日常运营指标管理要求，并对数据共享交换、接口全生命周期管理和第三方系统接入作出规定。</w:t>
      </w:r>
    </w:p>
    <w:p w14:paraId="3E28BCC1">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网络安全与数据安全要求：规定网络安全等级保护、安全责任与管理制度、身份鉴别和访问控制、边界防护与隔离、监测预警、日志审计、备份恢复、敏感信息保护、个人信息保护、密码技术应用和数据库审计等要求，保障场馆数字化系统和数据资源安全。</w:t>
      </w:r>
    </w:p>
    <w:p w14:paraId="2A200701">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持续改进要求：规定场馆应围绕系统建设、运行维护、数据治理、接口集成、安全保障和活动保障等方面，定期开展运行评估和问题复盘，制定改进计划，跟踪验证改进措施及其实施效果，形成持续优化机制。</w:t>
      </w:r>
    </w:p>
    <w:p w14:paraId="169B05E6">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（三）主要内容的确定依据</w:t>
      </w:r>
    </w:p>
    <w:p w14:paraId="7C772B09">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本文件按照GB/T 1.1—2020《标准化工作导则 第1部分：标准化文件的结构和起草规则》编制，主要依据《中华人民共和国标准化法》《国务院关于推进服务业扩能提质的意见》《服务贸易标准化工作行动计划（2026—2030年）》等法律法规和政策文件，参考GB/T 26165《经济贸易展览会 术语》、GB/T 28827.1《信息技术服务 运行维护 第1部分：通用要求》、GB/T 34395《展览场馆功能性设计指南》、GB/T 34960.5《信息技术服务 治理 第5部分：数据治理规范》、GB/T 35273《信息安全技术 个人信息安全规范》、GB/T 39116《智能制造能力成熟度模型》、GB/T 41130《展览场馆安全管理基本要求》、GB/T 39786《信息安全技术 信息系统密码应用基本要求》和ISO/IEC 30141等相关标准。其中，场馆分级及逐级涵盖关系参考GB/T 39116的能力成熟度分级思路，并结合会展场馆建设、运营和活动保障特点进行适应性设计。</w:t>
      </w:r>
    </w:p>
    <w:p w14:paraId="33F1F598">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r>
        <w:rPr>
          <w:rFonts w:hint="cs" w:ascii="宋体" w:hAnsi="宋体" w:eastAsia="宋体" w:cs="宋体"/>
          <w:b w:val="0"/>
          <w:bCs w:val="0"/>
          <w:color w:val="auto"/>
          <w:kern w:val="0"/>
          <w:sz w:val="24"/>
          <w:szCs w:val="24"/>
          <w:u w:color="0000FF"/>
          <w:lang w:val="zh-TW"/>
        </w:rPr>
        <w:t>本文件同时结合《智慧会展场馆数字化建设与运维情况调研报告》及相关会展场馆数字化建设和运行维护实践编制。标准中的五级能力划分、四层系统架构和分级配置要求，主要根据调研结果、场馆建设运营实际、相关标准要求，以及内部研讨和外部专家论证意见确定，确保标准技术内容与行业发展现状和实际应用需求相适应。</w:t>
      </w:r>
    </w:p>
    <w:p w14:paraId="2E7DE8FF">
      <w:pPr>
        <w:pStyle w:val="12"/>
        <w:keepNext w:val="0"/>
        <w:keepLines w:val="0"/>
        <w:pageBreakBefore w:val="0"/>
        <w:framePr w:wrap="auto" w:vAnchor="margin" w:hAnchor="text" w:yAlign="inline"/>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cs" w:ascii="宋体" w:hAnsi="宋体" w:eastAsia="宋体" w:cs="宋体"/>
          <w:b w:val="0"/>
          <w:bCs w:val="0"/>
          <w:color w:val="auto"/>
          <w:kern w:val="0"/>
          <w:sz w:val="24"/>
          <w:szCs w:val="24"/>
          <w:u w:color="0000FF"/>
          <w:lang w:val="zh-TW"/>
        </w:rPr>
      </w:pPr>
    </w:p>
    <w:p w14:paraId="137B8E83">
      <w:pPr>
        <w:pStyle w:val="12"/>
        <w:framePr w:wrap="auto" w:vAnchor="margin" w:hAnchor="text" w:yAlign="inline"/>
        <w:spacing w:line="360" w:lineRule="auto"/>
        <w:ind w:left="482" w:firstLine="0"/>
        <w:rPr>
          <w:rFonts w:ascii="宋体" w:hAnsi="宋体" w:eastAsia="宋体" w:cs="宋体"/>
          <w:b/>
          <w:bCs/>
          <w:color w:val="auto"/>
          <w:kern w:val="0"/>
          <w:sz w:val="24"/>
          <w:szCs w:val="24"/>
          <w:u w:color="0000FF"/>
          <w:lang w:val="zh-TW"/>
        </w:rPr>
      </w:pPr>
      <w:r>
        <w:rPr>
          <w:rFonts w:hint="eastAsia" w:ascii="宋体" w:hAnsi="宋体" w:eastAsia="宋体" w:cs="宋体"/>
          <w:b/>
          <w:bCs/>
          <w:color w:val="auto"/>
          <w:kern w:val="0"/>
          <w:sz w:val="24"/>
          <w:szCs w:val="24"/>
          <w:u w:color="0000FF"/>
          <w:lang w:val="zh-TW"/>
        </w:rPr>
        <w:t>三、试验验证、综述报告、技术经济论证及预期效益</w:t>
      </w:r>
    </w:p>
    <w:p w14:paraId="72B1FD0B">
      <w:pPr>
        <w:framePr w:wrap="auto" w:vAnchor="margin" w:hAnchor="text" w:yAlign="inline"/>
        <w:spacing w:line="360" w:lineRule="auto"/>
        <w:ind w:firstLine="480"/>
        <w:rPr>
          <w:rFonts w:hint="default" w:ascii="宋体" w:hAnsi="宋体" w:eastAsia="宋体" w:cs="宋体"/>
          <w:sz w:val="24"/>
          <w:szCs w:val="24"/>
        </w:rPr>
      </w:pPr>
      <w:r>
        <w:rPr>
          <w:rFonts w:hint="default" w:ascii="宋体" w:hAnsi="宋体" w:eastAsia="宋体" w:cs="宋体"/>
          <w:sz w:val="24"/>
          <w:szCs w:val="24"/>
        </w:rPr>
        <w:t>本文件属于会展场馆数字化系统建设与运行维护通用要求，不涉及产品型式试验和检验方法验证，未单独开展产品试验验证。</w:t>
      </w:r>
    </w:p>
    <w:p w14:paraId="2D37C00B">
      <w:pPr>
        <w:framePr w:wrap="auto" w:vAnchor="margin" w:hAnchor="text" w:yAlign="inline"/>
        <w:spacing w:line="360" w:lineRule="auto"/>
        <w:ind w:firstLine="480"/>
        <w:rPr>
          <w:rFonts w:hint="default" w:ascii="宋体" w:hAnsi="宋体" w:eastAsia="宋体" w:cs="宋体"/>
          <w:sz w:val="24"/>
          <w:szCs w:val="24"/>
        </w:rPr>
      </w:pPr>
      <w:r>
        <w:rPr>
          <w:rFonts w:hint="default" w:ascii="宋体" w:hAnsi="宋体" w:eastAsia="宋体" w:cs="宋体"/>
          <w:sz w:val="24"/>
          <w:szCs w:val="24"/>
        </w:rPr>
        <w:t>本文件未单独形成综述报告，相关标准、文献和行业实践的梳理分析已纳入调研报告及标准起草材料。起草过程中主要通过问卷调研、标准比对、案例分析、内部研讨和外部专家论证等方式，对场馆分级、系统架构、系统配置和建设运行维护要求的适用性进行分析验证。</w:t>
      </w:r>
    </w:p>
    <w:p w14:paraId="17D20586">
      <w:pPr>
        <w:framePr w:wrap="auto" w:vAnchor="margin" w:hAnchor="text" w:yAlign="inline"/>
        <w:spacing w:line="360" w:lineRule="auto"/>
        <w:ind w:firstLine="480"/>
        <w:rPr>
          <w:rFonts w:hint="default" w:ascii="宋体" w:hAnsi="宋体" w:eastAsia="宋体" w:cs="宋体"/>
          <w:sz w:val="24"/>
          <w:szCs w:val="24"/>
        </w:rPr>
      </w:pPr>
      <w:r>
        <w:rPr>
          <w:rFonts w:hint="default" w:ascii="宋体" w:hAnsi="宋体" w:eastAsia="宋体" w:cs="宋体"/>
          <w:sz w:val="24"/>
          <w:szCs w:val="24"/>
        </w:rPr>
        <w:t>起草组面向不同区域、不同规模和不同类型的会展场馆开展调研，共回收有效问卷2</w:t>
      </w:r>
      <w:r>
        <w:rPr>
          <w:rFonts w:hint="eastAsia" w:ascii="宋体" w:hAnsi="宋体" w:eastAsia="宋体" w:cs="宋体"/>
          <w:sz w:val="24"/>
          <w:szCs w:val="24"/>
          <w:lang w:val="en-US" w:eastAsia="zh-CN"/>
        </w:rPr>
        <w:t>4</w:t>
      </w:r>
      <w:r>
        <w:rPr>
          <w:rFonts w:hint="default" w:ascii="宋体" w:hAnsi="宋体" w:eastAsia="宋体" w:cs="宋体"/>
          <w:sz w:val="24"/>
          <w:szCs w:val="24"/>
        </w:rPr>
        <w:t>份，并形成《智慧会展场馆数字化建设与运维情况调研报告》。调研重点围绕场馆数字基础设施、平台建设、业务应用、数据治理、运行维护和安全保障等内容开展，为标准框架、分级方法和系统配置要求的确定提供了实践依据。</w:t>
      </w:r>
    </w:p>
    <w:p w14:paraId="797BF16C">
      <w:pPr>
        <w:framePr w:wrap="auto" w:vAnchor="margin" w:hAnchor="text" w:yAlign="inline"/>
        <w:spacing w:line="360" w:lineRule="auto"/>
        <w:ind w:firstLine="480"/>
        <w:rPr>
          <w:rFonts w:hint="default" w:ascii="宋体" w:hAnsi="宋体" w:eastAsia="宋体" w:cs="宋体"/>
          <w:sz w:val="24"/>
          <w:szCs w:val="24"/>
        </w:rPr>
      </w:pPr>
      <w:r>
        <w:rPr>
          <w:rFonts w:hint="default" w:ascii="宋体" w:hAnsi="宋体" w:eastAsia="宋体" w:cs="宋体"/>
          <w:sz w:val="24"/>
          <w:szCs w:val="24"/>
        </w:rPr>
        <w:t>从技术经济可行性看，本文件采用分级配置和逐级涵盖方式，允许场馆根据自身功能定位、业务需求、运营强度、数字化基础和运行维护能力合理确定建设等级和实施路径，避免脱离实际需求进行一次性建设，有利于减少系统分散建设、重复建设及后期改造成本，提高既有系统和数据资源的利用效率。</w:t>
      </w:r>
    </w:p>
    <w:p w14:paraId="1A62EC4C">
      <w:pPr>
        <w:framePr w:wrap="auto" w:vAnchor="margin" w:hAnchor="text" w:yAlign="inline"/>
        <w:spacing w:line="360" w:lineRule="auto"/>
        <w:ind w:firstLine="480"/>
        <w:rPr>
          <w:rFonts w:hint="default" w:ascii="宋体" w:hAnsi="宋体" w:eastAsia="宋体" w:cs="宋体"/>
          <w:sz w:val="24"/>
          <w:szCs w:val="24"/>
        </w:rPr>
      </w:pPr>
      <w:r>
        <w:rPr>
          <w:rFonts w:hint="default" w:ascii="宋体" w:hAnsi="宋体" w:eastAsia="宋体" w:cs="宋体"/>
          <w:sz w:val="24"/>
          <w:szCs w:val="24"/>
        </w:rPr>
        <w:t>本文件实施后，预期能够规范会展场馆数字化系统的规划、建设和运行维护工作，提高系统集成、数据治理、运行维护和安全保障能力；促进活动保障、资源调度和用户服务效率提升，推动不同系统之间的数据共享和业务协同；通过智慧能源管理、活动能耗计量和设备运行优化等应用，促进能源资源节约和场馆绿色低碳运营，具有一定的经济效益、社会效益和生态效益。</w:t>
      </w:r>
    </w:p>
    <w:p w14:paraId="5956646A">
      <w:pPr>
        <w:framePr w:wrap="auto" w:vAnchor="margin" w:hAnchor="text" w:yAlign="inline"/>
        <w:spacing w:line="360" w:lineRule="auto"/>
        <w:ind w:firstLine="480"/>
        <w:rPr>
          <w:rFonts w:hint="default" w:ascii="宋体" w:hAnsi="宋体" w:eastAsia="宋体" w:cs="宋体"/>
          <w:sz w:val="24"/>
          <w:szCs w:val="24"/>
        </w:rPr>
      </w:pPr>
    </w:p>
    <w:p w14:paraId="350636CC">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四、与国际、国外及国内同类标准技术内容的对比情况</w:t>
      </w:r>
    </w:p>
    <w:p w14:paraId="1B3DD3F6">
      <w:pPr>
        <w:framePr w:wrap="auto" w:vAnchor="margin" w:hAnchor="text" w:yAlign="inline"/>
        <w:spacing w:line="360" w:lineRule="auto"/>
        <w:ind w:firstLine="48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国内现有相关标准主要包括GB/T 26165《经济贸易展览会 术语》、GB/T 33489《展览会信息管理系统建设规范》、GB/T 34395《展览场馆功能性设计指南》、GB/T 36681《展览场馆服务管理规范》、GB/T 41130《展览场馆安全管理基本要求》和JGJ 333《会展建筑电气设计规范》等。尚未形成覆盖会展场馆数字化能力分级、四层系统架构、分级配置、系统建设、运行维护、数据治理、接口集成和安全保障等内容的综合性标准。与国内相关标准相比，本文件更加突出会展场馆数字化系统的整体规划、分级适用和全生命周期管理，将基础设施层、平台层、应用层和交互层纳入统一架构，并结合不同类型、不同规模和不同数字化基础场馆的实际需求设置五级配置要求，增强标准的适用性和可操作性。</w:t>
      </w:r>
    </w:p>
    <w:p w14:paraId="74A54DC6">
      <w:pPr>
        <w:framePr w:wrap="auto" w:vAnchor="margin" w:hAnchor="text" w:yAlign="inline"/>
        <w:spacing w:line="360" w:lineRule="auto"/>
        <w:ind w:firstLine="48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国际和国外相关标准及技术文件主要涉及物联网术语、物联网参考架构、信息技术服务、数据治理、网络安全和数字创新实践等内容。ISO/IEC 20924规定了物联网和数字孪生相关术语，ISO/IEC 30141规定了物联网参考架构，UFI有关数字创新研究报告总结了会展业数字技术应用实践。经分析，目前未发现与本文件适用范围、分级方法和技术内容完全对应的国际标准或国外标准。</w:t>
      </w:r>
    </w:p>
    <w:p w14:paraId="01B0C604">
      <w:pPr>
        <w:framePr w:wrap="auto" w:vAnchor="margin" w:hAnchor="text" w:yAlign="inline"/>
        <w:spacing w:line="360" w:lineRule="auto"/>
        <w:ind w:firstLine="48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本文件不涉及国外样品、样机及相关测试数据对比。</w:t>
      </w:r>
    </w:p>
    <w:p w14:paraId="5AAB976D">
      <w:pPr>
        <w:framePr w:wrap="auto" w:vAnchor="margin" w:hAnchor="text" w:yAlign="inline"/>
        <w:spacing w:line="360" w:lineRule="auto"/>
        <w:ind w:firstLine="480"/>
        <w:rPr>
          <w:rFonts w:hint="eastAsia" w:ascii="宋体" w:hAnsi="宋体" w:eastAsia="宋体" w:cs="宋体"/>
          <w:color w:val="auto"/>
          <w:sz w:val="24"/>
          <w:szCs w:val="24"/>
          <w:lang w:val="zh-TW"/>
        </w:rPr>
      </w:pPr>
    </w:p>
    <w:p w14:paraId="6E2B2166">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五、以国际标准为基础的起草情况</w:t>
      </w:r>
    </w:p>
    <w:p w14:paraId="3AE7F3F9">
      <w:pPr>
        <w:framePr w:wrap="auto" w:vAnchor="margin" w:hAnchor="text" w:yAlign="inline"/>
        <w:spacing w:line="360" w:lineRule="auto"/>
        <w:ind w:firstLine="480"/>
        <w:rPr>
          <w:rFonts w:hint="eastAsia" w:ascii="宋体" w:hAnsi="宋体" w:eastAsia="宋体" w:cs="宋体"/>
          <w:sz w:val="24"/>
          <w:szCs w:val="24"/>
          <w:lang w:val="zh-TW" w:eastAsia="zh-CN"/>
        </w:rPr>
      </w:pPr>
      <w:r>
        <w:rPr>
          <w:rFonts w:hint="eastAsia" w:ascii="宋体" w:hAnsi="宋体" w:eastAsia="宋体" w:cs="宋体"/>
          <w:sz w:val="24"/>
          <w:szCs w:val="24"/>
          <w:lang w:val="zh-TW" w:eastAsia="zh-CN"/>
        </w:rPr>
        <w:t>本文件未以现有国际标准为基础起草，未采用等同、修改或者非等效采用方式转化国际标准。</w:t>
      </w:r>
    </w:p>
    <w:p w14:paraId="05D84534">
      <w:pPr>
        <w:framePr w:wrap="auto" w:vAnchor="margin" w:hAnchor="text" w:yAlign="inline"/>
        <w:spacing w:line="360" w:lineRule="auto"/>
        <w:ind w:firstLine="480"/>
        <w:rPr>
          <w:rFonts w:hint="eastAsia" w:ascii="宋体" w:hAnsi="宋体" w:eastAsia="宋体" w:cs="宋体"/>
          <w:sz w:val="24"/>
          <w:szCs w:val="24"/>
          <w:lang w:val="zh-TW" w:eastAsia="zh-CN"/>
        </w:rPr>
      </w:pPr>
    </w:p>
    <w:p w14:paraId="1BA1386B">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六、与有关法律、行政法规及相关标准的关系</w:t>
      </w:r>
    </w:p>
    <w:p w14:paraId="378A90EB">
      <w:pPr>
        <w:framePr w:wrap="auto" w:vAnchor="margin" w:hAnchor="text" w:yAlign="inline"/>
        <w:spacing w:line="360" w:lineRule="auto"/>
        <w:ind w:firstLine="48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本文件符合《中华人民共和国标准化法》《中华人民共和国网络安全法》《中华人民共和国数据安全法》《中华人民共和国个人信息保护法》《中华人民共和国密码法》和《网络数据安全管理条例》等有关法律法规要求，并与GB/T 26165《经济贸易展览会 术语》、GB/T 28827.1《信息技术服务 运行维护 第1部分：通用要求》、GB/T 34395《展览场馆功能性设计指南》、GB/T 22239《信息安全技术 网络安全等级保护基本要求》、GB/T 25058《信息安全技术 网络安全等级保护实施指南》、GB/T 34960.5《信息技术服务 治理 第5部分：数据治理规范》、GB/T 35273《信息安全技术 个人信息安全规范》、GB/T 39786《信息安全技术 信息系统密码应用基本要求》等相关国家标准及行业规范保持一致，</w:t>
      </w:r>
      <w:r>
        <w:rPr>
          <w:rFonts w:hint="eastAsia" w:ascii="宋体" w:hAnsi="宋体" w:eastAsia="宋体" w:cs="宋体"/>
          <w:color w:val="auto"/>
          <w:sz w:val="24"/>
          <w:szCs w:val="24"/>
          <w:lang w:val="en-US" w:eastAsia="zh-CN"/>
        </w:rPr>
        <w:t>无</w:t>
      </w:r>
      <w:r>
        <w:rPr>
          <w:rFonts w:hint="eastAsia" w:ascii="宋体" w:hAnsi="宋体" w:eastAsia="宋体" w:cs="宋体"/>
          <w:color w:val="auto"/>
          <w:sz w:val="24"/>
          <w:szCs w:val="24"/>
          <w:lang w:val="zh-TW"/>
        </w:rPr>
        <w:t>冲突与抵触。标准的发布实施，将进一步完善会展场馆数字化系统建设与运行维护标准供给，促进相关法律法规和标准要求在会展场馆系统建设、运营管理、活动保障、数据治理、安全防护和绿色低碳转型中的落地应用。</w:t>
      </w:r>
    </w:p>
    <w:p w14:paraId="3DF6A74B">
      <w:pPr>
        <w:framePr w:wrap="auto" w:vAnchor="margin" w:hAnchor="text" w:yAlign="inline"/>
        <w:spacing w:line="360" w:lineRule="auto"/>
        <w:ind w:firstLine="480"/>
        <w:rPr>
          <w:rFonts w:hint="eastAsia" w:ascii="宋体" w:hAnsi="宋体" w:eastAsia="宋体" w:cs="宋体"/>
          <w:color w:val="auto"/>
          <w:sz w:val="24"/>
          <w:szCs w:val="24"/>
          <w:lang w:val="zh-TW"/>
        </w:rPr>
      </w:pPr>
    </w:p>
    <w:p w14:paraId="3A6D7457">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七、重大分歧意见的处理经过和依据</w:t>
      </w:r>
    </w:p>
    <w:p w14:paraId="01F34766">
      <w:pPr>
        <w:framePr w:wrap="auto" w:vAnchor="margin" w:hAnchor="text" w:yAlign="inline"/>
        <w:spacing w:line="360" w:lineRule="auto"/>
        <w:ind w:firstLine="480"/>
        <w:rPr>
          <w:rFonts w:hint="eastAsia" w:ascii="宋体" w:hAnsi="宋体" w:eastAsia="宋体" w:cs="宋体"/>
          <w:sz w:val="24"/>
          <w:szCs w:val="24"/>
          <w:lang w:val="zh-TW"/>
        </w:rPr>
      </w:pPr>
      <w:r>
        <w:rPr>
          <w:rFonts w:hint="eastAsia" w:ascii="宋体" w:hAnsi="宋体" w:eastAsia="宋体" w:cs="宋体"/>
          <w:sz w:val="24"/>
          <w:szCs w:val="24"/>
          <w:lang w:val="zh-TW"/>
        </w:rPr>
        <w:t>标准起草过程中未出现未解决的重大分歧意见。</w:t>
      </w:r>
    </w:p>
    <w:p w14:paraId="6A150453">
      <w:pPr>
        <w:framePr w:wrap="auto" w:vAnchor="margin" w:hAnchor="text" w:yAlign="inline"/>
        <w:spacing w:line="360" w:lineRule="auto"/>
        <w:ind w:firstLine="480"/>
        <w:rPr>
          <w:rFonts w:hint="eastAsia" w:ascii="宋体" w:hAnsi="宋体" w:eastAsia="宋体" w:cs="宋体"/>
          <w:sz w:val="24"/>
          <w:szCs w:val="24"/>
          <w:lang w:val="zh-TW"/>
        </w:rPr>
      </w:pPr>
    </w:p>
    <w:p w14:paraId="01F17E73">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八、涉及专利的有关说明</w:t>
      </w:r>
    </w:p>
    <w:p w14:paraId="75589AF1">
      <w:pPr>
        <w:framePr w:wrap="auto" w:vAnchor="margin" w:hAnchor="text" w:yAlign="inline"/>
        <w:spacing w:line="360" w:lineRule="auto"/>
        <w:ind w:firstLine="480"/>
        <w:rPr>
          <w:rFonts w:hint="default" w:ascii="宋体" w:hAnsi="宋体" w:eastAsia="宋体" w:cs="宋体"/>
          <w:color w:val="auto"/>
          <w:sz w:val="24"/>
          <w:szCs w:val="24"/>
          <w:lang w:val="zh-TW" w:eastAsia="zh-TW"/>
        </w:rPr>
      </w:pPr>
      <w:r>
        <w:rPr>
          <w:rFonts w:hint="default" w:ascii="宋体" w:hAnsi="宋体" w:eastAsia="宋体" w:cs="宋体"/>
          <w:color w:val="auto"/>
          <w:sz w:val="24"/>
          <w:szCs w:val="24"/>
          <w:lang w:val="zh-TW" w:eastAsia="zh-TW"/>
        </w:rPr>
        <w:t>本文件不涉及专利。</w:t>
      </w:r>
    </w:p>
    <w:p w14:paraId="03DAF12E">
      <w:pPr>
        <w:framePr w:wrap="auto" w:vAnchor="margin" w:hAnchor="text" w:yAlign="inline"/>
        <w:spacing w:line="360" w:lineRule="auto"/>
        <w:ind w:firstLine="480"/>
        <w:rPr>
          <w:rFonts w:hint="default" w:ascii="宋体" w:hAnsi="宋体" w:eastAsia="宋体" w:cs="宋体"/>
          <w:color w:val="auto"/>
          <w:sz w:val="24"/>
          <w:szCs w:val="24"/>
          <w:lang w:val="zh-TW" w:eastAsia="zh-TW"/>
        </w:rPr>
      </w:pPr>
    </w:p>
    <w:p w14:paraId="23DD526F">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九、实施标准的要求和措施建议</w:t>
      </w:r>
    </w:p>
    <w:p w14:paraId="570A1E32">
      <w:pPr>
        <w:framePr w:wrap="auto" w:vAnchor="margin" w:hAnchor="text" w:yAlign="inline"/>
        <w:spacing w:line="360" w:lineRule="auto"/>
        <w:ind w:firstLine="480"/>
        <w:rPr>
          <w:rFonts w:hint="default" w:ascii="宋体" w:hAnsi="宋体" w:eastAsia="宋体" w:cs="宋体"/>
          <w:color w:val="auto"/>
          <w:sz w:val="24"/>
          <w:szCs w:val="24"/>
          <w:lang w:val="zh-TW" w:eastAsia="zh-TW"/>
        </w:rPr>
      </w:pPr>
      <w:r>
        <w:rPr>
          <w:rFonts w:hint="default" w:ascii="宋体" w:hAnsi="宋体" w:eastAsia="宋体" w:cs="宋体"/>
          <w:color w:val="auto"/>
          <w:sz w:val="24"/>
          <w:szCs w:val="24"/>
          <w:lang w:val="zh-TW" w:eastAsia="zh-TW"/>
        </w:rPr>
        <w:t>加强宣贯培训：标准发布后，建议由归口单位会同起草单位，通过专题培训、标准解读、行业会议、线上宣贯等形式，面向会展场馆建设与运营单位、会展活动主承办单位、运行维护服务单位及行业组织开展标准宣贯，提升相关主体对智慧会展场馆分级、系统配置、建设实施、运行维护、数据治理和安全管理等要求的理解。</w:t>
      </w:r>
    </w:p>
    <w:p w14:paraId="20E8020E">
      <w:pPr>
        <w:framePr w:wrap="auto" w:vAnchor="margin" w:hAnchor="text" w:yAlign="inline"/>
        <w:spacing w:line="360" w:lineRule="auto"/>
        <w:ind w:firstLine="480"/>
        <w:rPr>
          <w:rFonts w:hint="default" w:ascii="宋体" w:hAnsi="宋体" w:eastAsia="宋体" w:cs="宋体"/>
          <w:color w:val="auto"/>
          <w:sz w:val="24"/>
          <w:szCs w:val="24"/>
          <w:lang w:val="zh-TW" w:eastAsia="zh-TW"/>
        </w:rPr>
      </w:pPr>
      <w:r>
        <w:rPr>
          <w:rFonts w:hint="default" w:ascii="宋体" w:hAnsi="宋体" w:eastAsia="宋体" w:cs="宋体"/>
          <w:color w:val="auto"/>
          <w:sz w:val="24"/>
          <w:szCs w:val="24"/>
          <w:lang w:val="zh-TW" w:eastAsia="zh-TW"/>
        </w:rPr>
        <w:t>开展试点应用：建议选择不同区域、不同规模、不同类型和不同数字化基础的会展场馆开展试点应用，检验智慧会展场馆分级方法、数字化系统架构、系统配置要求以及建设、运行维护、数据治理、接口集成和安全要求的适用性。通过试点应用，及时总结实施经验，发现并解决标准应用中的问题，为标准后续修订完善提供实践依据。</w:t>
      </w:r>
    </w:p>
    <w:p w14:paraId="461EEF24">
      <w:pPr>
        <w:framePr w:wrap="auto" w:vAnchor="margin" w:hAnchor="text" w:yAlign="inline"/>
        <w:spacing w:line="360" w:lineRule="auto"/>
        <w:ind w:firstLine="480"/>
        <w:rPr>
          <w:rFonts w:hint="default" w:ascii="宋体" w:hAnsi="宋体" w:eastAsia="宋体" w:cs="宋体"/>
          <w:color w:val="auto"/>
          <w:sz w:val="24"/>
          <w:szCs w:val="24"/>
          <w:lang w:val="zh-TW" w:eastAsia="zh-TW"/>
        </w:rPr>
      </w:pPr>
      <w:r>
        <w:rPr>
          <w:rFonts w:hint="default" w:ascii="宋体" w:hAnsi="宋体" w:eastAsia="宋体" w:cs="宋体"/>
          <w:color w:val="auto"/>
          <w:sz w:val="24"/>
          <w:szCs w:val="24"/>
          <w:lang w:val="zh-TW" w:eastAsia="zh-TW"/>
        </w:rPr>
        <w:t>规范建设与运行维护：建议会展场馆建设与运营单位结合场馆功能定位、业务需求、运营强度和既有系统基础，合理确定数字化能力等级及系统配置，并将本文件要求落实到总体设计、系统部署、测试试运行、验收交付和运行维护等环节。相关单位应明确职责分工，建立技术文档、资产台账、巡检维护、故障处置和应急响应等管理机制，确保数字化系统建设过程可追溯、运行维护工作形成闭环。</w:t>
      </w:r>
    </w:p>
    <w:p w14:paraId="5ECDD2F6">
      <w:pPr>
        <w:framePr w:wrap="auto" w:vAnchor="margin" w:hAnchor="text" w:yAlign="inline"/>
        <w:spacing w:line="360" w:lineRule="auto"/>
        <w:ind w:firstLine="480"/>
        <w:rPr>
          <w:rFonts w:hint="default" w:ascii="宋体" w:hAnsi="宋体" w:eastAsia="宋体" w:cs="宋体"/>
          <w:color w:val="auto"/>
          <w:sz w:val="24"/>
          <w:szCs w:val="24"/>
          <w:lang w:val="zh-TW" w:eastAsia="zh-TW"/>
        </w:rPr>
      </w:pPr>
      <w:r>
        <w:rPr>
          <w:rFonts w:hint="default" w:ascii="宋体" w:hAnsi="宋体" w:eastAsia="宋体" w:cs="宋体"/>
          <w:color w:val="auto"/>
          <w:sz w:val="24"/>
          <w:szCs w:val="24"/>
          <w:lang w:val="zh-TW" w:eastAsia="zh-TW"/>
        </w:rPr>
        <w:t>推动持续改进：建议会展场馆运营单位将标准要求融入日常运营管理和会展活动保障工作，定期评估数字化系统的运行状态、业务适配性、数据质量和安全风险，结合运行维护记录、故障告警、用户反馈和业务发展需要，持续优化系统功能、数据接口、运行维护流程和安全防护措施，不断提升场馆数字化系统的可靠性、协同性和服务效能。</w:t>
      </w:r>
    </w:p>
    <w:p w14:paraId="1ABCF452">
      <w:pPr>
        <w:framePr w:wrap="auto" w:vAnchor="margin" w:hAnchor="text" w:yAlign="inline"/>
        <w:spacing w:line="360" w:lineRule="auto"/>
        <w:ind w:firstLine="480"/>
        <w:rPr>
          <w:rFonts w:hint="default" w:ascii="宋体" w:hAnsi="宋体" w:eastAsia="宋体" w:cs="宋体"/>
          <w:color w:val="auto"/>
          <w:sz w:val="24"/>
          <w:szCs w:val="24"/>
          <w:lang w:val="zh-TW" w:eastAsia="zh-TW"/>
        </w:rPr>
      </w:pPr>
    </w:p>
    <w:p w14:paraId="2798C14A">
      <w:pPr>
        <w:framePr w:wrap="auto" w:vAnchor="margin" w:hAnchor="text" w:yAlign="inline"/>
        <w:spacing w:line="360" w:lineRule="auto"/>
        <w:ind w:firstLine="482"/>
        <w:rPr>
          <w:rFonts w:ascii="宋体" w:hAnsi="宋体" w:eastAsia="宋体" w:cs="宋体"/>
          <w:b/>
          <w:bCs/>
          <w:kern w:val="0"/>
          <w:sz w:val="24"/>
          <w:szCs w:val="24"/>
          <w:lang w:val="zh-TW"/>
        </w:rPr>
      </w:pPr>
      <w:r>
        <w:rPr>
          <w:rFonts w:hint="eastAsia" w:ascii="宋体" w:hAnsi="宋体" w:eastAsia="宋体" w:cs="宋体"/>
          <w:b/>
          <w:bCs/>
          <w:kern w:val="0"/>
          <w:sz w:val="24"/>
          <w:szCs w:val="24"/>
          <w:lang w:val="zh-TW"/>
        </w:rPr>
        <w:t>十、其他应当说明的事项</w:t>
      </w:r>
    </w:p>
    <w:p w14:paraId="791D0782">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w:t>
      </w:r>
    </w:p>
    <w:sectPr>
      <w:headerReference r:id="rId5" w:type="default"/>
      <w:footerReference r:id="rId6" w:type="default"/>
      <w:pgSz w:w="11900" w:h="16840"/>
      <w:pgMar w:top="1440" w:right="1800" w:bottom="1440" w:left="1800"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Helvetica Neue">
    <w:altName w:val="Arial"/>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69D24">
    <w:pPr>
      <w:pStyle w:val="2"/>
      <w:framePr w:wrap="auto" w:vAnchor="margin" w:hAnchor="text" w:yAlign="inline"/>
      <w:tabs>
        <w:tab w:val="right" w:pos="8280"/>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DFB5F">
    <w:pPr>
      <w:pStyle w:val="2"/>
      <w:framePr w:wrap="auto" w:vAnchor="margin" w:hAnchor="text" w:yAlign="inline"/>
      <w:tabs>
        <w:tab w:val="right" w:pos="8280"/>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2DC37">
    <w:pPr>
      <w:pStyle w:val="11"/>
      <w:framePr w:wrap="auto" w:vAnchor="margin" w:hAnchor="text" w:yAlign="inline"/>
    </w:pPr>
    <w:r>
      <mc:AlternateContent>
        <mc:Choice Requires="wps">
          <w:drawing>
            <wp:anchor distT="152400" distB="152400" distL="152400" distR="152400" simplePos="0" relativeHeight="251659264" behindDoc="1" locked="0" layoutInCell="1" allowOverlap="1">
              <wp:simplePos x="0" y="0"/>
              <wp:positionH relativeFrom="page">
                <wp:posOffset>3750945</wp:posOffset>
              </wp:positionH>
              <wp:positionV relativeFrom="page">
                <wp:posOffset>9833610</wp:posOffset>
              </wp:positionV>
              <wp:extent cx="57785" cy="131445"/>
              <wp:effectExtent l="0" t="0" r="0" b="0"/>
              <wp:wrapNone/>
              <wp:docPr id="1" name="officeArt object" descr="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2700" cap="flat">
                        <a:noFill/>
                        <a:miter lim="400000"/>
                      </a:ln>
                      <a:effectLst/>
                    </wps:spPr>
                    <wps:txbx>
                      <w:txbxContent>
                        <w:p w14:paraId="146ACB86">
                          <w:pPr>
                            <w:pStyle w:val="2"/>
                          </w:pPr>
                        </w:p>
                      </w:txbxContent>
                    </wps:txbx>
                    <wps:bodyPr wrap="square" lIns="0" tIns="0" rIns="0" bIns="0" numCol="1" anchor="t">
                      <a:noAutofit/>
                    </wps:bodyPr>
                  </wps:wsp>
                </a:graphicData>
              </a:graphic>
            </wp:anchor>
          </w:drawing>
        </mc:Choice>
        <mc:Fallback>
          <w:pict>
            <v:shape id="officeArt object" o:spid="_x0000_s1026" o:spt="202" alt="文本框 1" type="#_x0000_t202" style="position:absolute;left:0pt;margin-left:295.35pt;margin-top:774.3pt;height:10.35pt;width:4.55pt;mso-position-horizontal-relative:page;mso-position-vertical-relative:page;z-index:-251657216;mso-width-relative:page;mso-height-relative:page;" filled="f" stroked="f" coordsize="21600,21600" o:gfxdata="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&#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TVBjaAAAADQEAAA8AAAAAAAAAAQAgAAAAIgAAAGRy&#10;cy9kb3ducmV2LnhtbFBLAQIUABQAAAAIAIdO4kBoGCiJAwIAAPUDAAAOAAAAAAAAAAEAIAAAACkB&#10;AABkcnMvZTJvRG9jLnhtbFBLBQYAAAAABgAGAFkBAACeBQAAAAA=&#10;">
              <v:fill on="f" focussize="0,0"/>
              <v:stroke on="f" weight="1pt" miterlimit="4" joinstyle="miter"/>
              <v:imagedata o:title=""/>
              <o:lock v:ext="edit" aspectratio="f"/>
              <v:textbox inset="0mm,0mm,0mm,0mm">
                <w:txbxContent>
                  <w:p w14:paraId="146ACB86">
                    <w:pPr>
                      <w:pStyle w:val="2"/>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526DE">
    <w:pPr>
      <w:pStyle w:val="11"/>
      <w:framePr w:wrap="auto" w:vAnchor="margin" w:hAnchor="text" w:yAlign="inline"/>
    </w:pPr>
    <w:r>
      <mc:AlternateContent>
        <mc:Choice Requires="wps">
          <w:drawing>
            <wp:anchor distT="152400" distB="152400" distL="152400" distR="152400" simplePos="0" relativeHeight="251660288" behindDoc="1" locked="0" layoutInCell="1" allowOverlap="1">
              <wp:simplePos x="0" y="0"/>
              <wp:positionH relativeFrom="page">
                <wp:posOffset>3750945</wp:posOffset>
              </wp:positionH>
              <wp:positionV relativeFrom="page">
                <wp:posOffset>9833610</wp:posOffset>
              </wp:positionV>
              <wp:extent cx="57785" cy="131445"/>
              <wp:effectExtent l="0" t="0" r="0" b="0"/>
              <wp:wrapNone/>
              <wp:docPr id="1073741825" name="officeArt object" descr="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2700" cap="flat">
                        <a:noFill/>
                        <a:miter lim="400000"/>
                      </a:ln>
                      <a:effectLst/>
                    </wps:spPr>
                    <wps:txbx>
                      <w:txbxContent>
                        <w:p w14:paraId="2AD0BF45">
                          <w:pPr>
                            <w:pStyle w:val="2"/>
                          </w:pPr>
                          <w:r>
                            <w:fldChar w:fldCharType="begin"/>
                          </w:r>
                          <w:r>
                            <w:instrText xml:space="preserve"> PAGE </w:instrText>
                          </w:r>
                          <w:r>
                            <w:fldChar w:fldCharType="separate"/>
                          </w:r>
                          <w:r>
                            <w:t>3</w:t>
                          </w:r>
                          <w:r>
                            <w:fldChar w:fldCharType="end"/>
                          </w:r>
                        </w:p>
                      </w:txbxContent>
                    </wps:txbx>
                    <wps:bodyPr wrap="square" lIns="0" tIns="0" rIns="0" bIns="0" numCol="1" anchor="t">
                      <a:noAutofit/>
                    </wps:bodyPr>
                  </wps:wsp>
                </a:graphicData>
              </a:graphic>
            </wp:anchor>
          </w:drawing>
        </mc:Choice>
        <mc:Fallback>
          <w:pict>
            <v:shape id="officeArt object" o:spid="_x0000_s1026" o:spt="202" alt="文本框 1" type="#_x0000_t202" style="position:absolute;left:0pt;margin-left:295.35pt;margin-top:774.3pt;height:10.35pt;width:4.55pt;mso-position-horizontal-relative:page;mso-position-vertical-relative:page;z-index:-251656192;mso-width-relative:page;mso-height-relative:page;" filled="f" stroked="f" coordsize="21600,21600" o:gfxdata="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JU1QY2gAAAA0BAAAPAAAAAAAAAAEAIAAA&#10;ACIAAABkcnMvZG93bnJldi54bWxQSwECFAAUAAAACACHTuJA98QOIAoCAAD+AwAADgAAAAAAAAAB&#10;ACAAAAApAQAAZHJzL2Uyb0RvYy54bWxQSwUGAAAAAAYABgBZAQAApQUAAAAA&#10;">
              <v:fill on="f" focussize="0,0"/>
              <v:stroke on="f" weight="1pt" miterlimit="4" joinstyle="miter"/>
              <v:imagedata o:title=""/>
              <o:lock v:ext="edit" aspectratio="f"/>
              <v:textbox inset="0mm,0mm,0mm,0mm">
                <w:txbxContent>
                  <w:p w14:paraId="2AD0BF45">
                    <w:pPr>
                      <w:pStyle w:val="2"/>
                    </w:pPr>
                    <w:r>
                      <w:fldChar w:fldCharType="begin"/>
                    </w:r>
                    <w:r>
                      <w:instrText xml:space="preserve"> PAGE </w:instrText>
                    </w:r>
                    <w:r>
                      <w:fldChar w:fldCharType="separate"/>
                    </w:r>
                    <w:r>
                      <w:t>3</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8"/>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425" w:firstLine="0"/>
      </w:pPr>
      <w:rPr>
        <w:rFonts w:hint="eastAsia" w:ascii="黑体" w:hAnsi="Times New Roman" w:eastAsia="黑体" w:cs="Times New Roman"/>
        <w:b w:val="0"/>
        <w:bCs w:val="0"/>
        <w:i w:val="0"/>
        <w:iCs w:val="0"/>
        <w:caps w:val="0"/>
        <w:strike w:val="0"/>
        <w:dstrike w:val="0"/>
        <w:vanish w:val="0"/>
        <w:color w:val="800000"/>
        <w:spacing w:val="0"/>
        <w:kern w:val="0"/>
        <w:position w:val="0"/>
        <w:sz w:val="21"/>
        <w:szCs w:val="21"/>
        <w:u w:val="none"/>
        <w:vertAlign w:val="baseline"/>
      </w:rPr>
    </w:lvl>
    <w:lvl w:ilvl="2" w:tentative="0">
      <w:start w:val="1"/>
      <w:numFmt w:val="decimal"/>
      <w:suff w:val="nothing"/>
      <w:lvlText w:val="%1.%2.%3　"/>
      <w:lvlJc w:val="left"/>
      <w:pPr>
        <w:ind w:left="2268"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582062DA"/>
    <w:multiLevelType w:val="singleLevel"/>
    <w:tmpl w:val="582062D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
  <w:docVars>
    <w:docVar w:name="commondata" w:val="eyJoZGlkIjoiZmFhOTEwOTA4M2RhMmU1NGE4Zjg4ZmY1NTkwZWFmMjUifQ=="/>
  </w:docVars>
  <w:rsids>
    <w:rsidRoot w:val="001C1971"/>
    <w:rsid w:val="0000007A"/>
    <w:rsid w:val="00001B5B"/>
    <w:rsid w:val="00010B53"/>
    <w:rsid w:val="000117FA"/>
    <w:rsid w:val="00015ECA"/>
    <w:rsid w:val="00021F88"/>
    <w:rsid w:val="00023AB0"/>
    <w:rsid w:val="00035B6D"/>
    <w:rsid w:val="00037A2E"/>
    <w:rsid w:val="00050AEC"/>
    <w:rsid w:val="00082FF1"/>
    <w:rsid w:val="00084859"/>
    <w:rsid w:val="000905AB"/>
    <w:rsid w:val="00094129"/>
    <w:rsid w:val="000B3167"/>
    <w:rsid w:val="000C006E"/>
    <w:rsid w:val="000F45D3"/>
    <w:rsid w:val="000F71FA"/>
    <w:rsid w:val="00102875"/>
    <w:rsid w:val="00136DC2"/>
    <w:rsid w:val="001445DA"/>
    <w:rsid w:val="001C1971"/>
    <w:rsid w:val="00204F84"/>
    <w:rsid w:val="00215DD7"/>
    <w:rsid w:val="00237697"/>
    <w:rsid w:val="002512F2"/>
    <w:rsid w:val="00264B72"/>
    <w:rsid w:val="002663D9"/>
    <w:rsid w:val="002665EC"/>
    <w:rsid w:val="0028709D"/>
    <w:rsid w:val="00295751"/>
    <w:rsid w:val="002B4CE6"/>
    <w:rsid w:val="002D4343"/>
    <w:rsid w:val="002F0B8B"/>
    <w:rsid w:val="002F3AA6"/>
    <w:rsid w:val="002F3F3E"/>
    <w:rsid w:val="0030564F"/>
    <w:rsid w:val="0031319C"/>
    <w:rsid w:val="0035380E"/>
    <w:rsid w:val="00377697"/>
    <w:rsid w:val="00391E44"/>
    <w:rsid w:val="00392AF6"/>
    <w:rsid w:val="0039677A"/>
    <w:rsid w:val="003A0FD7"/>
    <w:rsid w:val="003B30F9"/>
    <w:rsid w:val="003C6F12"/>
    <w:rsid w:val="003D652D"/>
    <w:rsid w:val="004005B0"/>
    <w:rsid w:val="004240F0"/>
    <w:rsid w:val="00435909"/>
    <w:rsid w:val="00453F8D"/>
    <w:rsid w:val="004B46F1"/>
    <w:rsid w:val="004B56C3"/>
    <w:rsid w:val="004D05EE"/>
    <w:rsid w:val="004D285A"/>
    <w:rsid w:val="00525B9B"/>
    <w:rsid w:val="00546C9F"/>
    <w:rsid w:val="00550AA3"/>
    <w:rsid w:val="00555768"/>
    <w:rsid w:val="0059365C"/>
    <w:rsid w:val="005A6EF5"/>
    <w:rsid w:val="005B13B2"/>
    <w:rsid w:val="005F7B08"/>
    <w:rsid w:val="00605F70"/>
    <w:rsid w:val="006123BD"/>
    <w:rsid w:val="00647AAD"/>
    <w:rsid w:val="00666AC0"/>
    <w:rsid w:val="00695C8A"/>
    <w:rsid w:val="006A4054"/>
    <w:rsid w:val="006A5904"/>
    <w:rsid w:val="006C3335"/>
    <w:rsid w:val="006D28E6"/>
    <w:rsid w:val="006E4EB5"/>
    <w:rsid w:val="006E7F2E"/>
    <w:rsid w:val="00713B38"/>
    <w:rsid w:val="00716D2A"/>
    <w:rsid w:val="007205D4"/>
    <w:rsid w:val="00720891"/>
    <w:rsid w:val="00753EC9"/>
    <w:rsid w:val="00791143"/>
    <w:rsid w:val="007A6EC1"/>
    <w:rsid w:val="007C78B9"/>
    <w:rsid w:val="007D7840"/>
    <w:rsid w:val="007F7367"/>
    <w:rsid w:val="00844A75"/>
    <w:rsid w:val="00852083"/>
    <w:rsid w:val="00872310"/>
    <w:rsid w:val="008A1E38"/>
    <w:rsid w:val="008D1A07"/>
    <w:rsid w:val="008E73B2"/>
    <w:rsid w:val="00903D18"/>
    <w:rsid w:val="009078BB"/>
    <w:rsid w:val="0092426D"/>
    <w:rsid w:val="0092709E"/>
    <w:rsid w:val="00951C47"/>
    <w:rsid w:val="00954AFB"/>
    <w:rsid w:val="009618BF"/>
    <w:rsid w:val="0096218D"/>
    <w:rsid w:val="00964B16"/>
    <w:rsid w:val="009936AB"/>
    <w:rsid w:val="009A2906"/>
    <w:rsid w:val="009A514C"/>
    <w:rsid w:val="009B4725"/>
    <w:rsid w:val="009C08DA"/>
    <w:rsid w:val="009C333D"/>
    <w:rsid w:val="009D2E05"/>
    <w:rsid w:val="009F19C0"/>
    <w:rsid w:val="00A14861"/>
    <w:rsid w:val="00A22E73"/>
    <w:rsid w:val="00A329F7"/>
    <w:rsid w:val="00A369F1"/>
    <w:rsid w:val="00A56255"/>
    <w:rsid w:val="00A7221A"/>
    <w:rsid w:val="00A72D65"/>
    <w:rsid w:val="00A76DB0"/>
    <w:rsid w:val="00AE5E92"/>
    <w:rsid w:val="00B0520A"/>
    <w:rsid w:val="00B06E28"/>
    <w:rsid w:val="00B154D0"/>
    <w:rsid w:val="00B33BF1"/>
    <w:rsid w:val="00B3497B"/>
    <w:rsid w:val="00B45AE7"/>
    <w:rsid w:val="00B5017B"/>
    <w:rsid w:val="00C01246"/>
    <w:rsid w:val="00C149D5"/>
    <w:rsid w:val="00C223EE"/>
    <w:rsid w:val="00C50B12"/>
    <w:rsid w:val="00C731C6"/>
    <w:rsid w:val="00C870A4"/>
    <w:rsid w:val="00C923B3"/>
    <w:rsid w:val="00CD3464"/>
    <w:rsid w:val="00CE51C9"/>
    <w:rsid w:val="00D20D5B"/>
    <w:rsid w:val="00D418D7"/>
    <w:rsid w:val="00D42091"/>
    <w:rsid w:val="00D42375"/>
    <w:rsid w:val="00D92B72"/>
    <w:rsid w:val="00D92D8A"/>
    <w:rsid w:val="00D9431E"/>
    <w:rsid w:val="00DA1793"/>
    <w:rsid w:val="00DB3344"/>
    <w:rsid w:val="00DC0655"/>
    <w:rsid w:val="00DD1545"/>
    <w:rsid w:val="00DF5A59"/>
    <w:rsid w:val="00E045F4"/>
    <w:rsid w:val="00E20101"/>
    <w:rsid w:val="00E21072"/>
    <w:rsid w:val="00E223F5"/>
    <w:rsid w:val="00E42EA4"/>
    <w:rsid w:val="00E476F5"/>
    <w:rsid w:val="00E66352"/>
    <w:rsid w:val="00E86919"/>
    <w:rsid w:val="00E95A59"/>
    <w:rsid w:val="00EA0E6F"/>
    <w:rsid w:val="00EA45A0"/>
    <w:rsid w:val="00EB7D2E"/>
    <w:rsid w:val="00ED4542"/>
    <w:rsid w:val="00ED6663"/>
    <w:rsid w:val="00EE0D56"/>
    <w:rsid w:val="00EE2BFC"/>
    <w:rsid w:val="00EF578C"/>
    <w:rsid w:val="00F06039"/>
    <w:rsid w:val="00F10349"/>
    <w:rsid w:val="00F379DE"/>
    <w:rsid w:val="00F4411B"/>
    <w:rsid w:val="00F52EE6"/>
    <w:rsid w:val="00F60ACD"/>
    <w:rsid w:val="00F707BF"/>
    <w:rsid w:val="00F770A2"/>
    <w:rsid w:val="00F91175"/>
    <w:rsid w:val="00F92653"/>
    <w:rsid w:val="00FB455B"/>
    <w:rsid w:val="00FC68AA"/>
    <w:rsid w:val="01D21D86"/>
    <w:rsid w:val="02067366"/>
    <w:rsid w:val="026476BC"/>
    <w:rsid w:val="02F50C20"/>
    <w:rsid w:val="03864CD3"/>
    <w:rsid w:val="05D16C32"/>
    <w:rsid w:val="062D0592"/>
    <w:rsid w:val="065007B6"/>
    <w:rsid w:val="06907B34"/>
    <w:rsid w:val="070A4300"/>
    <w:rsid w:val="07844F83"/>
    <w:rsid w:val="09A71F99"/>
    <w:rsid w:val="0A516F86"/>
    <w:rsid w:val="0BF4406D"/>
    <w:rsid w:val="0C4A4ECC"/>
    <w:rsid w:val="0C6B2020"/>
    <w:rsid w:val="0CEF76F2"/>
    <w:rsid w:val="0D5376A5"/>
    <w:rsid w:val="0D7A2C98"/>
    <w:rsid w:val="0E7C495A"/>
    <w:rsid w:val="0F9A317D"/>
    <w:rsid w:val="0F9A7321"/>
    <w:rsid w:val="10084372"/>
    <w:rsid w:val="104B1B68"/>
    <w:rsid w:val="11813F2D"/>
    <w:rsid w:val="11C37011"/>
    <w:rsid w:val="13251E20"/>
    <w:rsid w:val="137912FC"/>
    <w:rsid w:val="14482956"/>
    <w:rsid w:val="15776508"/>
    <w:rsid w:val="167B7F56"/>
    <w:rsid w:val="17655405"/>
    <w:rsid w:val="17FC4CA8"/>
    <w:rsid w:val="18552337"/>
    <w:rsid w:val="18D72D4C"/>
    <w:rsid w:val="18E60853"/>
    <w:rsid w:val="190D1B69"/>
    <w:rsid w:val="1AAE793C"/>
    <w:rsid w:val="1B851185"/>
    <w:rsid w:val="1C6019ED"/>
    <w:rsid w:val="1C7114D7"/>
    <w:rsid w:val="1D0F3B8F"/>
    <w:rsid w:val="1D1F2F14"/>
    <w:rsid w:val="1D8B05A9"/>
    <w:rsid w:val="1E8D27EC"/>
    <w:rsid w:val="1EFD1033"/>
    <w:rsid w:val="1F4E1E6D"/>
    <w:rsid w:val="205F1BAA"/>
    <w:rsid w:val="211A46D4"/>
    <w:rsid w:val="21940426"/>
    <w:rsid w:val="21CA48AF"/>
    <w:rsid w:val="21E914A0"/>
    <w:rsid w:val="23527E7F"/>
    <w:rsid w:val="249C4E4A"/>
    <w:rsid w:val="24AC5E86"/>
    <w:rsid w:val="25215D4A"/>
    <w:rsid w:val="25B91D0D"/>
    <w:rsid w:val="26B612F4"/>
    <w:rsid w:val="26F176CF"/>
    <w:rsid w:val="27223D2C"/>
    <w:rsid w:val="27695755"/>
    <w:rsid w:val="2996418B"/>
    <w:rsid w:val="2A526D38"/>
    <w:rsid w:val="2B4E297B"/>
    <w:rsid w:val="2CAA2BF1"/>
    <w:rsid w:val="2CBB4661"/>
    <w:rsid w:val="2CD21EE0"/>
    <w:rsid w:val="2D082640"/>
    <w:rsid w:val="2DCD4F31"/>
    <w:rsid w:val="2DD66AA1"/>
    <w:rsid w:val="2EBE2D7F"/>
    <w:rsid w:val="2F294924"/>
    <w:rsid w:val="2FC067ED"/>
    <w:rsid w:val="3105339B"/>
    <w:rsid w:val="31886F99"/>
    <w:rsid w:val="31C81974"/>
    <w:rsid w:val="31FC04D1"/>
    <w:rsid w:val="3372103F"/>
    <w:rsid w:val="34C5283E"/>
    <w:rsid w:val="355B0433"/>
    <w:rsid w:val="356C00F9"/>
    <w:rsid w:val="3628761B"/>
    <w:rsid w:val="369F29ED"/>
    <w:rsid w:val="37CD1DE7"/>
    <w:rsid w:val="386A108F"/>
    <w:rsid w:val="389B369E"/>
    <w:rsid w:val="38F44DFD"/>
    <w:rsid w:val="38FD1F3E"/>
    <w:rsid w:val="39685D00"/>
    <w:rsid w:val="39B93070"/>
    <w:rsid w:val="39BD1693"/>
    <w:rsid w:val="3A9960A1"/>
    <w:rsid w:val="3B7A0F8F"/>
    <w:rsid w:val="3D9910E3"/>
    <w:rsid w:val="3F6C00D9"/>
    <w:rsid w:val="3F7B48AA"/>
    <w:rsid w:val="3FCE69FB"/>
    <w:rsid w:val="409B2C7E"/>
    <w:rsid w:val="40E60052"/>
    <w:rsid w:val="419454B5"/>
    <w:rsid w:val="437C5721"/>
    <w:rsid w:val="43823F58"/>
    <w:rsid w:val="43A07649"/>
    <w:rsid w:val="445762B7"/>
    <w:rsid w:val="44E1092B"/>
    <w:rsid w:val="45565612"/>
    <w:rsid w:val="46A37F6E"/>
    <w:rsid w:val="470036A7"/>
    <w:rsid w:val="48160ED6"/>
    <w:rsid w:val="48580610"/>
    <w:rsid w:val="485E04E5"/>
    <w:rsid w:val="488A4EC3"/>
    <w:rsid w:val="49DB676B"/>
    <w:rsid w:val="4A4D3F38"/>
    <w:rsid w:val="4A82670C"/>
    <w:rsid w:val="4BD9235C"/>
    <w:rsid w:val="4C5F21E2"/>
    <w:rsid w:val="4C6C37B1"/>
    <w:rsid w:val="4F6808F1"/>
    <w:rsid w:val="5038161B"/>
    <w:rsid w:val="506E7FDD"/>
    <w:rsid w:val="51923E59"/>
    <w:rsid w:val="52312B91"/>
    <w:rsid w:val="536C2A87"/>
    <w:rsid w:val="53B856EE"/>
    <w:rsid w:val="53E3171A"/>
    <w:rsid w:val="5452177E"/>
    <w:rsid w:val="54C71029"/>
    <w:rsid w:val="55454AA2"/>
    <w:rsid w:val="556E3DBC"/>
    <w:rsid w:val="55BD2CEE"/>
    <w:rsid w:val="55FA40F2"/>
    <w:rsid w:val="564442DB"/>
    <w:rsid w:val="56BB3E5C"/>
    <w:rsid w:val="57172C31"/>
    <w:rsid w:val="57813C86"/>
    <w:rsid w:val="5837687D"/>
    <w:rsid w:val="585A058C"/>
    <w:rsid w:val="5A3B3850"/>
    <w:rsid w:val="5A796958"/>
    <w:rsid w:val="5AC06077"/>
    <w:rsid w:val="5B2B4256"/>
    <w:rsid w:val="5BFD4B33"/>
    <w:rsid w:val="5C541EA5"/>
    <w:rsid w:val="5DF37E23"/>
    <w:rsid w:val="5EB01481"/>
    <w:rsid w:val="5EB014E6"/>
    <w:rsid w:val="5EF46DC6"/>
    <w:rsid w:val="602D7562"/>
    <w:rsid w:val="60981ECE"/>
    <w:rsid w:val="60DF7B25"/>
    <w:rsid w:val="619C2EE1"/>
    <w:rsid w:val="62A274F4"/>
    <w:rsid w:val="63B36F9D"/>
    <w:rsid w:val="64C80818"/>
    <w:rsid w:val="64DB13F3"/>
    <w:rsid w:val="64E52595"/>
    <w:rsid w:val="657768D7"/>
    <w:rsid w:val="660D7ED2"/>
    <w:rsid w:val="66537C45"/>
    <w:rsid w:val="66EE541F"/>
    <w:rsid w:val="67FF0F45"/>
    <w:rsid w:val="68C335E9"/>
    <w:rsid w:val="69392FB3"/>
    <w:rsid w:val="69690D46"/>
    <w:rsid w:val="69881641"/>
    <w:rsid w:val="69CB4084"/>
    <w:rsid w:val="6A062A5C"/>
    <w:rsid w:val="6A5769E5"/>
    <w:rsid w:val="6A7878DF"/>
    <w:rsid w:val="6A8E20F3"/>
    <w:rsid w:val="6B421F06"/>
    <w:rsid w:val="6BA43AA1"/>
    <w:rsid w:val="6BCC3967"/>
    <w:rsid w:val="6BE160DB"/>
    <w:rsid w:val="6C300DB3"/>
    <w:rsid w:val="6D1C60F5"/>
    <w:rsid w:val="6D3C6D71"/>
    <w:rsid w:val="6ED0700C"/>
    <w:rsid w:val="6FA02888"/>
    <w:rsid w:val="70262AB1"/>
    <w:rsid w:val="7036645C"/>
    <w:rsid w:val="70D2136A"/>
    <w:rsid w:val="70DC7322"/>
    <w:rsid w:val="70DE688A"/>
    <w:rsid w:val="70F63624"/>
    <w:rsid w:val="718D2B0B"/>
    <w:rsid w:val="718F158B"/>
    <w:rsid w:val="71C11019"/>
    <w:rsid w:val="7214383E"/>
    <w:rsid w:val="725E2B5B"/>
    <w:rsid w:val="72600832"/>
    <w:rsid w:val="72806927"/>
    <w:rsid w:val="73033BF3"/>
    <w:rsid w:val="73C13552"/>
    <w:rsid w:val="73CA1308"/>
    <w:rsid w:val="74161B02"/>
    <w:rsid w:val="742C0ACD"/>
    <w:rsid w:val="74970007"/>
    <w:rsid w:val="75133BF1"/>
    <w:rsid w:val="76410B7F"/>
    <w:rsid w:val="783365AA"/>
    <w:rsid w:val="786230CA"/>
    <w:rsid w:val="791974F6"/>
    <w:rsid w:val="79E5228B"/>
    <w:rsid w:val="7A1475B1"/>
    <w:rsid w:val="7B6437C0"/>
    <w:rsid w:val="7BBA3D34"/>
    <w:rsid w:val="7BE256C8"/>
    <w:rsid w:val="7BE81FC4"/>
    <w:rsid w:val="7C6A0D04"/>
    <w:rsid w:val="7D213A2C"/>
    <w:rsid w:val="7DDB6D31"/>
    <w:rsid w:val="7E0F7090"/>
    <w:rsid w:val="7E3F1E86"/>
    <w:rsid w:val="7E860185"/>
    <w:rsid w:val="7F267ABD"/>
    <w:rsid w:val="7F64085D"/>
    <w:rsid w:val="7FB74D40"/>
    <w:rsid w:val="7FC85E4C"/>
    <w:rsid w:val="7FDE7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qFormat/>
    <w:uiPriority w:val="0"/>
    <w:pPr>
      <w:framePr w:wrap="around" w:vAnchor="margin" w:hAnchor="text" w:y="1"/>
      <w:widowControl w:val="0"/>
      <w:tabs>
        <w:tab w:val="center" w:pos="4153"/>
        <w:tab w:val="right" w:pos="8306"/>
      </w:tabs>
    </w:pPr>
    <w:rPr>
      <w:rFonts w:ascii="Times New Roman" w:hAnsi="Times New Roman" w:eastAsia="Arial Unicode MS" w:cs="Arial Unicode MS"/>
      <w:color w:val="000000"/>
      <w:kern w:val="2"/>
      <w:sz w:val="18"/>
      <w:szCs w:val="18"/>
      <w:u w:color="000000"/>
      <w:lang w:val="en-US" w:eastAsia="zh-CN" w:bidi="ar-SA"/>
    </w:rPr>
  </w:style>
  <w:style w:type="paragraph" w:styleId="3">
    <w:name w:val="header"/>
    <w:basedOn w:val="1"/>
    <w:link w:val="13"/>
    <w:qFormat/>
    <w:uiPriority w:val="0"/>
    <w:pPr>
      <w:framePr w:wrap="around"/>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framePr w:wrap="around"/>
    </w:pPr>
    <w:rPr>
      <w:sz w:val="24"/>
    </w:rPr>
  </w:style>
  <w:style w:type="character" w:styleId="7">
    <w:name w:val="Hyperlink"/>
    <w:qFormat/>
    <w:uiPriority w:val="0"/>
    <w:rPr>
      <w:u w:val="single"/>
    </w:rPr>
  </w:style>
  <w:style w:type="paragraph" w:customStyle="1" w:styleId="8">
    <w:name w:val="章标题"/>
    <w:next w:val="9"/>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页眉与页脚"/>
    <w:qFormat/>
    <w:uiPriority w:val="0"/>
    <w:pPr>
      <w:framePr w:wrap="around" w:vAnchor="margin" w:hAnchor="text" w:y="1"/>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2">
    <w:name w:val="列出段落1"/>
    <w:qFormat/>
    <w:uiPriority w:val="0"/>
    <w:pPr>
      <w:framePr w:wrap="around" w:vAnchor="margin" w:hAnchor="text" w:y="1"/>
      <w:widowControl w:val="0"/>
      <w:ind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13">
    <w:name w:val="页眉 字符"/>
    <w:basedOn w:val="6"/>
    <w:link w:val="3"/>
    <w:qFormat/>
    <w:uiPriority w:val="0"/>
    <w:rPr>
      <w:rFonts w:ascii="Arial Unicode MS" w:hAnsi="Arial Unicode MS" w:eastAsia="Times New Roman" w:cs="Arial Unicode MS"/>
      <w:color w:val="000000"/>
      <w:kern w:val="2"/>
      <w:sz w:val="18"/>
      <w:szCs w:val="18"/>
      <w:u w:color="000000"/>
    </w:rPr>
  </w:style>
  <w:style w:type="paragraph" w:customStyle="1" w:styleId="14">
    <w:name w:val="列表段落1"/>
    <w:basedOn w:val="1"/>
    <w:qFormat/>
    <w:uiPriority w:val="99"/>
    <w:pPr>
      <w:framePr w:wrap="around"/>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6539</Words>
  <Characters>6898</Characters>
  <Lines>2</Lines>
  <Paragraphs>1</Paragraphs>
  <TotalTime>10</TotalTime>
  <ScaleCrop>false</ScaleCrop>
  <LinksUpToDate>false</LinksUpToDate>
  <CharactersWithSpaces>6972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2019-03-19T02:01:00Z</dcterms:created>
  <dc:creator>HP</dc:creator>
  <cp:lastModifiedBy>特浓盐牛奶糖</cp:lastModifiedBy>
  <cp:lastPrinted>2019-06-17T03:57:00Z</cp:lastPrinted>
  <dcterms:modified xsi:type="dcterms:W3CDTF">2026-07-30T09:23:52Z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2EF287012E7042D7A7353FC2216727C2_12</vt:lpwstr>
  </property>
  <property fmtid="{D5CDD505-2E9C-101B-9397-08002B2CF9AE}" pid="4" name="KSOTemplateDocerSaveRecord">
    <vt:lpwstr>eyJoZGlkIjoiYjRjZDgxZmM2NTBmY2I2MjMyOTEyMmI3NDRhNjM5Y2QiLCJ1c2VySWQiOiIxMTQ4NjA0ODU1In0=</vt:lpwstr>
  </property>
</Properties>
</file>