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16376C">
      <w:pPr>
        <w:framePr w:wrap="auto" w:vAnchor="margin" w:hAnchor="text" w:yAlign="inline"/>
        <w:spacing w:line="300" w:lineRule="auto"/>
        <w:jc w:val="center"/>
        <w:outlineLvl w:val="0"/>
        <w:rPr>
          <w:rFonts w:hint="default"/>
          <w:b/>
          <w:bCs/>
          <w:sz w:val="32"/>
          <w:szCs w:val="32"/>
          <w:lang w:val="zh-TW" w:eastAsia="zh-TW"/>
        </w:rPr>
      </w:pPr>
      <w:r>
        <w:rPr>
          <w:rFonts w:hint="cs" w:ascii="宋体" w:hAnsi="宋体" w:eastAsia="宋体" w:cs="宋体"/>
          <w:b/>
          <w:bCs/>
          <w:sz w:val="32"/>
          <w:szCs w:val="32"/>
          <w:lang w:val="zh-TW" w:eastAsia="zh-TW"/>
        </w:rPr>
        <w:t>《</w:t>
      </w:r>
      <w:r>
        <w:rPr>
          <w:rFonts w:hint="eastAsia" w:ascii="宋体" w:hAnsi="宋体" w:eastAsia="宋体" w:cs="宋体"/>
          <w:b/>
          <w:bCs/>
          <w:sz w:val="32"/>
          <w:szCs w:val="32"/>
          <w:lang w:val="en-US" w:eastAsia="zh-CN"/>
        </w:rPr>
        <w:t>产教融合背景下校企协同育人质量监控与评价标准体系</w:t>
      </w:r>
      <w:r>
        <w:rPr>
          <w:rFonts w:hint="cs" w:ascii="宋体" w:hAnsi="宋体" w:eastAsia="宋体" w:cs="宋体"/>
          <w:b/>
          <w:bCs/>
          <w:sz w:val="32"/>
          <w:szCs w:val="32"/>
          <w:lang w:val="zh-TW" w:eastAsia="zh-TW"/>
        </w:rPr>
        <w:t>》</w:t>
      </w:r>
      <w:r>
        <w:rPr>
          <w:rFonts w:ascii="宋体" w:hAnsi="宋体" w:eastAsia="宋体" w:cs="宋体"/>
          <w:b/>
          <w:bCs/>
          <w:sz w:val="32"/>
          <w:szCs w:val="32"/>
          <w:lang w:val="zh-TW" w:eastAsia="zh-TW"/>
        </w:rPr>
        <w:t>团体标准编制说明</w:t>
      </w:r>
    </w:p>
    <w:p w14:paraId="6358E0EE">
      <w:pPr>
        <w:framePr w:wrap="auto" w:vAnchor="margin" w:hAnchor="text" w:yAlign="inline"/>
        <w:spacing w:line="360" w:lineRule="auto"/>
        <w:ind w:firstLine="482"/>
        <w:rPr>
          <w:rFonts w:hint="default" w:ascii="宋体" w:hAnsi="宋体" w:eastAsia="宋体" w:cs="宋体"/>
          <w:b/>
          <w:bCs/>
          <w:kern w:val="0"/>
          <w:sz w:val="24"/>
          <w:szCs w:val="24"/>
          <w:lang w:eastAsia="zh-TW"/>
        </w:rPr>
      </w:pPr>
    </w:p>
    <w:p w14:paraId="166D631E">
      <w:pPr>
        <w:pStyle w:val="13"/>
        <w:framePr w:wrap="auto" w:vAnchor="margin" w:hAnchor="text" w:yAlign="inline"/>
        <w:numPr>
          <w:ilvl w:val="0"/>
          <w:numId w:val="2"/>
        </w:numPr>
        <w:spacing w:line="360" w:lineRule="auto"/>
        <w:rPr>
          <w:rFonts w:hint="default" w:ascii="宋体" w:hAnsi="宋体" w:eastAsia="PMingLiU" w:cs="宋体"/>
          <w:b/>
          <w:bCs/>
          <w:color w:val="auto"/>
          <w:kern w:val="0"/>
          <w:sz w:val="24"/>
          <w:szCs w:val="24"/>
          <w:u w:color="0000FF"/>
          <w:lang w:val="zh-TW" w:eastAsia="zh-TW"/>
        </w:rPr>
      </w:pPr>
      <w:r>
        <w:rPr>
          <w:rFonts w:ascii="宋体" w:hAnsi="宋体" w:eastAsia="宋体" w:cs="宋体"/>
          <w:b/>
          <w:bCs/>
          <w:color w:val="auto"/>
          <w:kern w:val="0"/>
          <w:sz w:val="24"/>
          <w:szCs w:val="24"/>
          <w:u w:color="0000FF"/>
          <w:lang w:val="zh-TW" w:eastAsia="zh-TW"/>
        </w:rPr>
        <w:t>标准项目来源</w:t>
      </w:r>
    </w:p>
    <w:p w14:paraId="62BD7CB9">
      <w:pPr>
        <w:framePr w:wrap="auto" w:vAnchor="margin" w:hAnchor="text" w:yAlign="inline"/>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本团体标准由中国国际贸易促进委员会商业行业委员会提出并归口管理，由重庆城市管理职业大学（原重庆城市管理职业学院）牵头起草。中国贸促会商业行业委员会作为ISO/TS 44006:2023《校企合作指南》国际标准的牵头研制单位及ISO/TC 286 WG4秘书处承担单位，持续推进校企合作领域的标准体系建设工作，本标准是该体系的重要组成部分。</w:t>
      </w:r>
    </w:p>
    <w:p w14:paraId="5D3BCEF5">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本标准积极响应了联合国2030可持续发展目标中的第4项“优质教育”、第8项“体面工作和经济增长”，</w:t>
      </w:r>
      <w:r>
        <w:rPr>
          <w:rFonts w:hint="default" w:ascii="宋体" w:hAnsi="宋体" w:eastAsia="宋体" w:cs="宋体"/>
          <w:color w:val="auto"/>
          <w:sz w:val="24"/>
          <w:szCs w:val="24"/>
          <w:lang w:val="en-US" w:eastAsia="zh-CN"/>
        </w:rPr>
        <w:t>贯彻落实《国家标准化发展纲要</w:t>
      </w:r>
      <w:r>
        <w:rPr>
          <w:rFonts w:hint="eastAsia" w:ascii="宋体" w:hAnsi="宋体" w:eastAsia="宋体" w:cs="宋体"/>
          <w:color w:val="auto"/>
          <w:sz w:val="24"/>
          <w:szCs w:val="24"/>
          <w:lang w:val="en-US" w:eastAsia="zh-CN"/>
        </w:rPr>
        <w:t>》和</w:t>
      </w:r>
      <w:r>
        <w:rPr>
          <w:rFonts w:hint="default" w:ascii="宋体" w:hAnsi="宋体" w:eastAsia="宋体" w:cs="宋体"/>
          <w:color w:val="auto"/>
          <w:sz w:val="24"/>
          <w:szCs w:val="24"/>
          <w:lang w:val="en-US" w:eastAsia="zh-CN"/>
        </w:rPr>
        <w:t>《教育强国建设规划纲要（2024—2035年）》关于强化产教融合质量评价与实习实训标准建设的要求，以及《关于深化职业教育教学关键要素改革的意见》（教职成〔2026〕1号）关于校企协同质量监控闭环与多元评价整改的部署。旨在解决当前校企协同育人中“校热企冷”、过程监管缺位、评价标准不一、质量闭环不完整等突出问题，为高校、企业及监管单位开展质量监控与评价提供统一技术依据。本标准基于重庆城市管理职业大学校企协同育人及产教融合办学的实践经验与研究成果启动研制。</w:t>
      </w:r>
    </w:p>
    <w:p w14:paraId="3BD9B73A">
      <w:pPr>
        <w:pStyle w:val="13"/>
        <w:framePr w:wrap="auto" w:vAnchor="margin" w:hAnchor="text" w:yAlign="inline"/>
        <w:spacing w:line="360" w:lineRule="auto"/>
        <w:ind w:left="482" w:firstLine="0"/>
        <w:rPr>
          <w:rFonts w:hint="default" w:ascii="宋体" w:hAnsi="宋体" w:eastAsia="宋体" w:cs="宋体"/>
          <w:b/>
          <w:bCs/>
          <w:color w:val="auto"/>
          <w:kern w:val="0"/>
          <w:sz w:val="24"/>
          <w:szCs w:val="24"/>
          <w:u w:color="0000FF"/>
          <w:lang w:val="zh-TW" w:eastAsia="zh-TW"/>
        </w:rPr>
      </w:pPr>
      <w:r>
        <w:rPr>
          <w:rFonts w:ascii="宋体" w:hAnsi="宋体" w:eastAsia="宋体" w:cs="宋体"/>
          <w:b/>
          <w:bCs/>
          <w:color w:val="auto"/>
          <w:kern w:val="0"/>
          <w:sz w:val="24"/>
          <w:szCs w:val="24"/>
          <w:u w:color="0000FF"/>
          <w:lang w:val="zh-TW" w:eastAsia="zh-TW"/>
        </w:rPr>
        <w:t>二、标准制定的目的和意义</w:t>
      </w:r>
    </w:p>
    <w:p w14:paraId="33CA263D">
      <w:pPr>
        <w:framePr w:wrap="auto" w:vAnchor="margin" w:hAnchor="text" w:yAlign="inline"/>
        <w:spacing w:line="360" w:lineRule="auto"/>
        <w:ind w:firstLine="477" w:firstLineChars="198"/>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一）标准制定的目的</w:t>
      </w:r>
    </w:p>
    <w:p w14:paraId="41B0166B">
      <w:pPr>
        <w:framePr w:wrap="auto" w:vAnchor="margin" w:hAnchor="text" w:yAlign="inline"/>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1.贯彻落实国家职业教育改革相关政策要求，规范高职院校校企协同育人全过程管理。</w:t>
      </w:r>
    </w:p>
    <w:p w14:paraId="7BF8B20D">
      <w:pPr>
        <w:framePr w:wrap="auto" w:vAnchor="margin" w:hAnchor="text" w:yAlign="inline"/>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2.建立科学、统一、可操作的校企协同育人质量监控与评价体系，明确评价指标、流程与方法。</w:t>
      </w:r>
    </w:p>
    <w:p w14:paraId="2CA314AB">
      <w:pPr>
        <w:framePr w:wrap="auto" w:vAnchor="margin" w:hAnchor="text" w:yAlign="inline"/>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3.指导订单班、中国特色学徒制、现场工程师、校企合作教材开发等项目规范实施，提升人才培养质量。</w:t>
      </w:r>
    </w:p>
    <w:p w14:paraId="39DDB048">
      <w:pPr>
        <w:framePr w:wrap="auto" w:vAnchor="margin" w:hAnchor="text" w:yAlign="inline"/>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4.强化校企双主体责任，实现人才培养过程可监控、质量可评价、成果可考核。</w:t>
      </w:r>
    </w:p>
    <w:p w14:paraId="6EFC1219">
      <w:pPr>
        <w:framePr w:wrap="auto" w:vAnchor="margin" w:hAnchor="text" w:yAlign="inline"/>
        <w:spacing w:line="360" w:lineRule="auto"/>
        <w:ind w:firstLine="48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5.为高职院校产教融合质量提升、持续改进提供标准化依据。</w:t>
      </w:r>
    </w:p>
    <w:p w14:paraId="3FED65A6">
      <w:pPr>
        <w:framePr w:wrap="auto" w:vAnchor="margin" w:hAnchor="text" w:yAlign="inline"/>
        <w:spacing w:line="360" w:lineRule="auto"/>
        <w:ind w:firstLine="477" w:firstLineChars="198"/>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 xml:space="preserve">（二）标准制定的意义 </w:t>
      </w:r>
    </w:p>
    <w:p w14:paraId="46F4AFDF">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default" w:ascii="宋体" w:hAnsi="宋体" w:eastAsia="宋体" w:cs="宋体"/>
          <w:color w:val="auto"/>
          <w:sz w:val="24"/>
          <w:szCs w:val="24"/>
          <w:lang w:val="en-US" w:eastAsia="zh-CN"/>
        </w:rPr>
        <w:t xml:space="preserve">宏观层面 </w:t>
      </w:r>
    </w:p>
    <w:p w14:paraId="3A5B1E86">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本标准的制定，是落实《关于深化现代职业教育体系建设改革的意见》《国家职业教育改革实施方案》的重要举措，有助于完善现代职业教育质量保障体系，推动职业教育从规模扩张向质量提升转型，为职业教育高质量发展提供制度支撑。</w:t>
      </w:r>
    </w:p>
    <w:p w14:paraId="03EE308D">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行业与</w:t>
      </w:r>
      <w:r>
        <w:rPr>
          <w:rFonts w:hint="eastAsia" w:ascii="宋体" w:hAnsi="宋体" w:eastAsia="宋体" w:cs="宋体"/>
          <w:color w:val="auto"/>
          <w:sz w:val="24"/>
          <w:szCs w:val="24"/>
          <w:lang w:val="en-US" w:eastAsia="zh-CN"/>
        </w:rPr>
        <w:t>职教</w:t>
      </w:r>
      <w:r>
        <w:rPr>
          <w:rFonts w:hint="default" w:ascii="宋体" w:hAnsi="宋体" w:eastAsia="宋体" w:cs="宋体"/>
          <w:color w:val="auto"/>
          <w:sz w:val="24"/>
          <w:szCs w:val="24"/>
          <w:lang w:val="en-US" w:eastAsia="zh-CN"/>
        </w:rPr>
        <w:t>层面</w:t>
      </w:r>
    </w:p>
    <w:p w14:paraId="35AB21A6">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default" w:ascii="宋体" w:hAnsi="宋体" w:eastAsia="宋体" w:cs="宋体"/>
          <w:color w:val="auto"/>
          <w:sz w:val="24"/>
          <w:szCs w:val="24"/>
          <w:lang w:val="en-US" w:eastAsia="zh-CN"/>
        </w:rPr>
        <w:t>填补高职院校校企协同育人质量评价统一标准空白，解决评价不统一、监控不规范、考核不落地等问题。</w:t>
      </w:r>
    </w:p>
    <w:p w14:paraId="73BD0C4B">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引导校企双方明确育人职责，规范人才培养方案、课程建设、</w:t>
      </w:r>
      <w:r>
        <w:rPr>
          <w:rFonts w:hint="eastAsia" w:ascii="宋体" w:hAnsi="宋体" w:eastAsia="宋体" w:cs="宋体"/>
          <w:color w:val="auto"/>
          <w:sz w:val="24"/>
          <w:szCs w:val="24"/>
          <w:lang w:val="en-US" w:eastAsia="zh-CN"/>
        </w:rPr>
        <w:t>校企合作教材开发</w:t>
      </w:r>
      <w:r>
        <w:rPr>
          <w:rFonts w:hint="default" w:ascii="宋体" w:hAnsi="宋体" w:eastAsia="宋体" w:cs="宋体"/>
          <w:color w:val="auto"/>
          <w:sz w:val="24"/>
          <w:szCs w:val="24"/>
          <w:lang w:val="en-US" w:eastAsia="zh-CN"/>
        </w:rPr>
        <w:t>、实训教学等关键环节。</w:t>
      </w:r>
    </w:p>
    <w:p w14:paraId="78AE997C">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lang w:val="en-US" w:eastAsia="zh-CN"/>
        </w:rPr>
        <w:t>促进产教深度融合，推动岗课赛证融通，提升职业教育服务产业发展的能力。</w:t>
      </w:r>
    </w:p>
    <w:p w14:paraId="40F8E1C0">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3.高校</w:t>
      </w:r>
      <w:r>
        <w:rPr>
          <w:rFonts w:hint="default" w:ascii="宋体" w:hAnsi="宋体" w:eastAsia="宋体" w:cs="宋体"/>
          <w:color w:val="auto"/>
          <w:sz w:val="24"/>
          <w:szCs w:val="24"/>
          <w:lang w:val="en-US" w:eastAsia="zh-CN"/>
        </w:rPr>
        <w:t xml:space="preserve">实践层面 </w:t>
      </w:r>
    </w:p>
    <w:p w14:paraId="6EC085A7">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default" w:ascii="宋体" w:hAnsi="宋体" w:eastAsia="宋体" w:cs="宋体"/>
          <w:color w:val="auto"/>
          <w:sz w:val="24"/>
          <w:szCs w:val="24"/>
          <w:lang w:val="en-US" w:eastAsia="zh-CN"/>
        </w:rPr>
        <w:t>为</w:t>
      </w:r>
      <w:r>
        <w:rPr>
          <w:rFonts w:hint="eastAsia" w:ascii="宋体" w:hAnsi="宋体" w:eastAsia="宋体" w:cs="宋体"/>
          <w:color w:val="auto"/>
          <w:sz w:val="24"/>
          <w:szCs w:val="24"/>
          <w:lang w:val="en-US" w:eastAsia="zh-CN"/>
        </w:rPr>
        <w:t>高校</w:t>
      </w:r>
      <w:r>
        <w:rPr>
          <w:rFonts w:hint="default" w:ascii="宋体" w:hAnsi="宋体" w:eastAsia="宋体" w:cs="宋体"/>
          <w:color w:val="auto"/>
          <w:sz w:val="24"/>
          <w:szCs w:val="24"/>
          <w:lang w:val="en-US" w:eastAsia="zh-CN"/>
        </w:rPr>
        <w:t>订单班、</w:t>
      </w:r>
      <w:r>
        <w:rPr>
          <w:rFonts w:hint="eastAsia" w:ascii="宋体" w:hAnsi="宋体" w:eastAsia="宋体" w:cs="宋体"/>
          <w:color w:val="auto"/>
          <w:sz w:val="24"/>
          <w:szCs w:val="24"/>
          <w:lang w:val="en-US" w:eastAsia="zh-CN"/>
        </w:rPr>
        <w:t>中国特色学徒制</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校企合作教材开发</w:t>
      </w:r>
      <w:r>
        <w:rPr>
          <w:rFonts w:hint="default" w:ascii="宋体" w:hAnsi="宋体" w:eastAsia="宋体" w:cs="宋体"/>
          <w:color w:val="auto"/>
          <w:sz w:val="24"/>
          <w:szCs w:val="24"/>
          <w:lang w:val="en-US" w:eastAsia="zh-CN"/>
        </w:rPr>
        <w:t>建设等项目提供标准化管控依据，实现全过程质量监控。</w:t>
      </w:r>
    </w:p>
    <w:p w14:paraId="58AF41FA">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完善校内质量评价机制，提升校企协同育人管理规范化、精细化水平。</w:t>
      </w:r>
    </w:p>
    <w:p w14:paraId="21DFA20B">
      <w:pPr>
        <w:framePr w:wrap="auto" w:vAnchor="margin" w:hAnchor="text" w:yAlign="inline"/>
        <w:spacing w:line="360" w:lineRule="auto"/>
        <w:ind w:firstLine="48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default" w:ascii="宋体" w:hAnsi="宋体" w:eastAsia="宋体" w:cs="宋体"/>
          <w:color w:val="auto"/>
          <w:sz w:val="24"/>
          <w:szCs w:val="24"/>
          <w:lang w:val="en-US" w:eastAsia="zh-CN"/>
        </w:rPr>
        <w:t>形成可复制、可推广的育人质量评价模式，提升</w:t>
      </w:r>
      <w:r>
        <w:rPr>
          <w:rFonts w:hint="eastAsia" w:ascii="宋体" w:hAnsi="宋体" w:eastAsia="宋体" w:cs="宋体"/>
          <w:color w:val="auto"/>
          <w:sz w:val="24"/>
          <w:szCs w:val="24"/>
          <w:lang w:val="en-US" w:eastAsia="zh-CN"/>
        </w:rPr>
        <w:t>高校</w:t>
      </w:r>
      <w:r>
        <w:rPr>
          <w:rFonts w:hint="default" w:ascii="宋体" w:hAnsi="宋体" w:eastAsia="宋体" w:cs="宋体"/>
          <w:color w:val="auto"/>
          <w:sz w:val="24"/>
          <w:szCs w:val="24"/>
          <w:lang w:val="en-US" w:eastAsia="zh-CN"/>
        </w:rPr>
        <w:t>办学内涵与人才培养质量。</w:t>
      </w:r>
    </w:p>
    <w:p w14:paraId="65F53F8D">
      <w:pPr>
        <w:pStyle w:val="13"/>
        <w:framePr w:wrap="auto" w:vAnchor="margin" w:hAnchor="text" w:yAlign="inline"/>
        <w:spacing w:line="360" w:lineRule="auto"/>
        <w:ind w:left="482" w:firstLine="0"/>
        <w:rPr>
          <w:rFonts w:hint="default" w:ascii="宋体" w:hAnsi="宋体" w:eastAsia="宋体" w:cs="宋体"/>
          <w:b/>
          <w:bCs/>
          <w:color w:val="auto"/>
          <w:kern w:val="0"/>
          <w:sz w:val="24"/>
          <w:szCs w:val="24"/>
          <w:u w:color="0000FF"/>
          <w:lang w:val="zh-TW" w:eastAsia="zh-TW"/>
        </w:rPr>
      </w:pPr>
      <w:r>
        <w:rPr>
          <w:rFonts w:ascii="宋体" w:hAnsi="宋体" w:eastAsia="宋体" w:cs="宋体"/>
          <w:b/>
          <w:bCs/>
          <w:color w:val="auto"/>
          <w:kern w:val="0"/>
          <w:sz w:val="24"/>
          <w:szCs w:val="24"/>
          <w:u w:color="0000FF"/>
          <w:lang w:val="zh-TW" w:eastAsia="zh-TW"/>
        </w:rPr>
        <w:t>三、标准起草的过程简述</w:t>
      </w:r>
    </w:p>
    <w:p w14:paraId="20813490">
      <w:pPr>
        <w:pStyle w:val="13"/>
        <w:framePr w:wrap="auto" w:vAnchor="margin" w:hAnchor="text" w:yAlign="inline"/>
        <w:numPr>
          <w:ilvl w:val="0"/>
          <w:numId w:val="0"/>
        </w:numPr>
        <w:ind w:left="482"/>
        <w:rPr>
          <w:rFonts w:hint="default" w:ascii="宋体" w:hAnsi="宋体" w:eastAsia="宋体" w:cs="宋体"/>
          <w:b/>
          <w:bCs/>
          <w:color w:val="000000"/>
          <w:sz w:val="24"/>
          <w:szCs w:val="24"/>
          <w:lang w:val="zh-TW" w:eastAsia="zh-TW"/>
        </w:rPr>
      </w:pPr>
      <w:r>
        <w:rPr>
          <w:rFonts w:hint="default" w:ascii="宋体" w:hAnsi="宋体" w:eastAsia="宋体" w:cs="宋体"/>
          <w:b/>
          <w:bCs/>
          <w:color w:val="000000"/>
          <w:sz w:val="24"/>
          <w:szCs w:val="24"/>
          <w:lang w:val="zh-TW" w:eastAsia="zh-TW"/>
        </w:rPr>
        <w:t>（一）预研阶段（2025年初）</w:t>
      </w:r>
    </w:p>
    <w:p w14:paraId="789551DF">
      <w:pPr>
        <w:framePr w:wrap="auto" w:vAnchor="margin" w:hAnchor="text" w:yAlign="inline"/>
        <w:spacing w:line="360" w:lineRule="auto"/>
        <w:ind w:firstLine="480"/>
        <w:rPr>
          <w:rFonts w:hint="default" w:ascii="宋体" w:hAnsi="宋体" w:eastAsia="宋体" w:cs="宋体"/>
          <w:color w:val="auto"/>
          <w:sz w:val="24"/>
          <w:szCs w:val="24"/>
          <w:lang w:val="zh-TW"/>
        </w:rPr>
      </w:pPr>
      <w:r>
        <w:rPr>
          <w:rFonts w:hint="default" w:ascii="宋体" w:hAnsi="宋体" w:eastAsia="宋体" w:cs="宋体"/>
          <w:color w:val="auto"/>
          <w:sz w:val="24"/>
          <w:szCs w:val="24"/>
          <w:lang w:val="zh-TW"/>
        </w:rPr>
        <w:t>1.开展政策与行业现状调研，梳理国家职业教育、产教融合相关政策，分析校企协同育人现存质量管控痛点。</w:t>
      </w:r>
    </w:p>
    <w:p w14:paraId="38B30D9D">
      <w:pPr>
        <w:framePr w:wrap="auto" w:vAnchor="margin" w:hAnchor="text" w:yAlign="inline"/>
        <w:spacing w:line="360" w:lineRule="auto"/>
        <w:ind w:firstLine="480"/>
        <w:rPr>
          <w:rFonts w:hint="default" w:ascii="宋体" w:hAnsi="宋体" w:eastAsia="宋体" w:cs="宋体"/>
          <w:color w:val="auto"/>
          <w:sz w:val="24"/>
          <w:szCs w:val="24"/>
          <w:lang w:val="zh-TW"/>
        </w:rPr>
      </w:pPr>
      <w:r>
        <w:rPr>
          <w:rFonts w:hint="default" w:ascii="宋体" w:hAnsi="宋体" w:eastAsia="宋体" w:cs="宋体"/>
          <w:color w:val="auto"/>
          <w:sz w:val="24"/>
          <w:szCs w:val="24"/>
          <w:lang w:val="zh-TW"/>
        </w:rPr>
        <w:t>2.收集国内外同类标准、评价体系文献，形成可行性分析报告。</w:t>
      </w:r>
    </w:p>
    <w:p w14:paraId="17CA41E5">
      <w:pPr>
        <w:framePr w:wrap="auto" w:vAnchor="margin" w:hAnchor="text" w:yAlign="inline"/>
        <w:spacing w:line="360" w:lineRule="auto"/>
        <w:ind w:firstLine="480"/>
        <w:rPr>
          <w:rFonts w:hint="default" w:ascii="宋体" w:hAnsi="宋体" w:eastAsia="宋体" w:cs="宋体"/>
          <w:color w:val="auto"/>
          <w:sz w:val="24"/>
          <w:szCs w:val="24"/>
          <w:lang w:val="zh-TW"/>
        </w:rPr>
      </w:pPr>
      <w:r>
        <w:rPr>
          <w:rFonts w:hint="default" w:ascii="宋体" w:hAnsi="宋体" w:eastAsia="宋体" w:cs="宋体"/>
          <w:color w:val="auto"/>
          <w:sz w:val="24"/>
          <w:szCs w:val="24"/>
          <w:lang w:val="zh-TW"/>
        </w:rPr>
        <w:t>3.明确标准编制目的、适用范围、核心框架，组建预研工作组，形成立项建议书。</w:t>
      </w:r>
    </w:p>
    <w:p w14:paraId="454EAFE7">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CN"/>
        </w:rPr>
      </w:pPr>
      <w:r>
        <w:rPr>
          <w:rFonts w:hint="default" w:ascii="宋体" w:hAnsi="宋体" w:eastAsia="宋体" w:cs="宋体"/>
          <w:b/>
          <w:bCs/>
          <w:color w:val="000000"/>
          <w:sz w:val="24"/>
          <w:szCs w:val="24"/>
          <w:lang w:val="zh-TW" w:eastAsia="zh-TW"/>
        </w:rPr>
        <w:t>（二）立项阶段</w:t>
      </w: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2026年中期</w:t>
      </w:r>
      <w:r>
        <w:rPr>
          <w:rFonts w:hint="eastAsia" w:ascii="宋体" w:hAnsi="宋体" w:eastAsia="宋体" w:cs="宋体"/>
          <w:b/>
          <w:bCs/>
          <w:color w:val="000000"/>
          <w:sz w:val="24"/>
          <w:szCs w:val="24"/>
          <w:lang w:val="zh-TW" w:eastAsia="zh-CN"/>
        </w:rPr>
        <w:t>）</w:t>
      </w:r>
    </w:p>
    <w:p w14:paraId="2D2CDD8D">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1.向团体标准归口单位提交立项申请材料（立项建议书、可行性报告、工作组名单）。</w:t>
      </w:r>
    </w:p>
    <w:p w14:paraId="72558D23">
      <w:pPr>
        <w:framePr w:wrap="auto" w:vAnchor="margin" w:hAnchor="text" w:yAlign="inline"/>
        <w:spacing w:line="360" w:lineRule="auto"/>
        <w:ind w:firstLine="48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2.归口单位组织专家评审，审核立项科学性。</w:t>
      </w:r>
    </w:p>
    <w:p w14:paraId="483C47DA">
      <w:pPr>
        <w:framePr w:wrap="auto" w:vAnchor="margin" w:hAnchor="text" w:yAlign="inline"/>
        <w:spacing w:line="360" w:lineRule="auto"/>
        <w:ind w:firstLine="480"/>
        <w:rPr>
          <w:rFonts w:hint="default"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3.立项通过后正式下达立项通知，确定标准编号、编制周期与工作分工。</w:t>
      </w:r>
    </w:p>
    <w:p w14:paraId="1BC4525D">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CN"/>
        </w:rPr>
      </w:pPr>
      <w:r>
        <w:rPr>
          <w:rFonts w:hint="default" w:ascii="宋体" w:hAnsi="宋体" w:eastAsia="宋体" w:cs="宋体"/>
          <w:b/>
          <w:bCs/>
          <w:color w:val="000000"/>
          <w:sz w:val="24"/>
          <w:szCs w:val="24"/>
          <w:lang w:val="zh-TW" w:eastAsia="zh-TW"/>
        </w:rPr>
        <w:t>（三）起草阶段</w:t>
      </w: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2026年第二季度</w:t>
      </w:r>
      <w:r>
        <w:rPr>
          <w:rFonts w:hint="eastAsia" w:ascii="宋体" w:hAnsi="宋体" w:eastAsia="宋体" w:cs="宋体"/>
          <w:b/>
          <w:bCs/>
          <w:color w:val="000000"/>
          <w:sz w:val="24"/>
          <w:szCs w:val="24"/>
          <w:lang w:val="zh-TW" w:eastAsia="zh-CN"/>
        </w:rPr>
        <w:t>）</w:t>
      </w:r>
    </w:p>
    <w:p w14:paraId="1A8E92BB">
      <w:pPr>
        <w:framePr w:wrap="auto" w:vAnchor="margin" w:hAnchor="text" w:yAlign="inline"/>
        <w:spacing w:line="360" w:lineRule="auto"/>
        <w:ind w:firstLine="480" w:firstLineChars="200"/>
        <w:rPr>
          <w:rFonts w:hint="default" w:ascii="宋体" w:hAnsi="宋体" w:eastAsia="宋体" w:cs="宋体"/>
          <w:color w:val="auto"/>
          <w:sz w:val="24"/>
          <w:szCs w:val="24"/>
        </w:rPr>
      </w:pPr>
      <w:r>
        <w:rPr>
          <w:rFonts w:hint="default" w:ascii="宋体" w:hAnsi="宋体" w:eastAsia="宋体" w:cs="宋体"/>
          <w:color w:val="auto"/>
          <w:sz w:val="24"/>
          <w:szCs w:val="24"/>
        </w:rPr>
        <w:t>1.成立标准起草工作组，细化章节结构，明确质量监控、评价指标、实施流程、保障机制等核心内容。</w:t>
      </w:r>
    </w:p>
    <w:p w14:paraId="7F132F84">
      <w:pPr>
        <w:framePr w:wrap="auto" w:vAnchor="margin" w:hAnchor="text" w:yAlign="inline"/>
        <w:spacing w:line="360" w:lineRule="auto"/>
        <w:ind w:left="420"/>
        <w:rPr>
          <w:rFonts w:hint="default" w:ascii="宋体" w:hAnsi="宋体" w:eastAsia="宋体" w:cs="宋体"/>
          <w:color w:val="auto"/>
          <w:sz w:val="24"/>
          <w:szCs w:val="24"/>
        </w:rPr>
      </w:pPr>
      <w:r>
        <w:rPr>
          <w:rFonts w:hint="default" w:ascii="宋体" w:hAnsi="宋体" w:eastAsia="宋体" w:cs="宋体"/>
          <w:color w:val="auto"/>
          <w:sz w:val="24"/>
          <w:szCs w:val="24"/>
        </w:rPr>
        <w:t>2.结合</w:t>
      </w:r>
      <w:r>
        <w:rPr>
          <w:rFonts w:hint="eastAsia" w:ascii="宋体" w:hAnsi="宋体" w:eastAsia="宋体" w:cs="宋体"/>
          <w:color w:val="auto"/>
          <w:sz w:val="24"/>
          <w:szCs w:val="24"/>
          <w:lang w:val="en-US" w:eastAsia="zh-CN"/>
        </w:rPr>
        <w:t>高校</w:t>
      </w:r>
      <w:r>
        <w:rPr>
          <w:rFonts w:hint="default" w:ascii="宋体" w:hAnsi="宋体" w:eastAsia="宋体" w:cs="宋体"/>
          <w:color w:val="auto"/>
          <w:sz w:val="24"/>
          <w:szCs w:val="24"/>
        </w:rPr>
        <w:t>、企业实践案例，完成标准草案初稿撰写。</w:t>
      </w:r>
    </w:p>
    <w:p w14:paraId="7265AF7E">
      <w:pPr>
        <w:framePr w:wrap="auto" w:vAnchor="margin" w:hAnchor="text" w:yAlign="inline"/>
        <w:spacing w:line="360" w:lineRule="auto"/>
        <w:ind w:left="420"/>
        <w:rPr>
          <w:rFonts w:hint="eastAsia" w:ascii="宋体" w:hAnsi="宋体" w:eastAsia="宋体" w:cs="宋体"/>
          <w:b/>
          <w:bCs/>
          <w:color w:val="000000"/>
          <w:sz w:val="24"/>
          <w:szCs w:val="24"/>
          <w:lang w:val="zh-TW" w:eastAsia="zh-CN"/>
        </w:rPr>
      </w:pPr>
      <w:r>
        <w:rPr>
          <w:rFonts w:hint="default" w:ascii="宋体" w:hAnsi="宋体" w:eastAsia="宋体" w:cs="宋体"/>
          <w:color w:val="auto"/>
          <w:sz w:val="24"/>
          <w:szCs w:val="24"/>
        </w:rPr>
        <w:t>3.内部组织专家研讨、多轮修改完善，形成标准征求意见稿及编制说明。</w:t>
      </w:r>
      <w:r>
        <w:rPr>
          <w:rFonts w:hint="default" w:ascii="宋体" w:hAnsi="宋体" w:eastAsia="宋体" w:cs="宋体"/>
          <w:b/>
          <w:bCs/>
          <w:color w:val="000000"/>
          <w:sz w:val="24"/>
          <w:szCs w:val="24"/>
          <w:lang w:val="zh-TW" w:eastAsia="zh-TW"/>
        </w:rPr>
        <w:t>（四）征求意见阶段</w:t>
      </w: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2026年第三季度</w:t>
      </w:r>
      <w:r>
        <w:rPr>
          <w:rFonts w:hint="eastAsia" w:ascii="宋体" w:hAnsi="宋体" w:eastAsia="宋体" w:cs="宋体"/>
          <w:b/>
          <w:bCs/>
          <w:color w:val="000000"/>
          <w:sz w:val="24"/>
          <w:szCs w:val="24"/>
          <w:lang w:val="zh-TW" w:eastAsia="zh-CN"/>
        </w:rPr>
        <w:t>）</w:t>
      </w:r>
    </w:p>
    <w:p w14:paraId="57BD36A2">
      <w:pPr>
        <w:framePr w:wrap="auto" w:vAnchor="margin" w:hAnchor="text" w:yAlign="inline"/>
        <w:spacing w:line="360" w:lineRule="auto"/>
        <w:ind w:firstLine="482"/>
        <w:rPr>
          <w:rFonts w:hint="default" w:ascii="宋体" w:hAnsi="宋体" w:eastAsia="宋体" w:cs="宋体"/>
          <w:sz w:val="24"/>
          <w:szCs w:val="24"/>
        </w:rPr>
      </w:pPr>
      <w:r>
        <w:rPr>
          <w:rFonts w:hint="default" w:ascii="宋体" w:hAnsi="宋体" w:eastAsia="宋体" w:cs="宋体"/>
          <w:sz w:val="24"/>
          <w:szCs w:val="24"/>
        </w:rPr>
        <w:t>1.面向行业协会、高职院校、合作企业、教育主管部门等公开征求意见。</w:t>
      </w:r>
    </w:p>
    <w:p w14:paraId="71331A9D">
      <w:pPr>
        <w:framePr w:wrap="auto" w:vAnchor="margin" w:hAnchor="text" w:yAlign="inline"/>
        <w:spacing w:line="360" w:lineRule="auto"/>
        <w:ind w:firstLine="482"/>
        <w:rPr>
          <w:rFonts w:hint="default" w:ascii="宋体" w:hAnsi="宋体" w:eastAsia="宋体" w:cs="宋体"/>
          <w:sz w:val="24"/>
          <w:szCs w:val="24"/>
        </w:rPr>
      </w:pPr>
      <w:r>
        <w:rPr>
          <w:rFonts w:hint="default" w:ascii="宋体" w:hAnsi="宋体" w:eastAsia="宋体" w:cs="宋体"/>
          <w:sz w:val="24"/>
          <w:szCs w:val="24"/>
        </w:rPr>
        <w:t>2.梳理、汇总反馈意见，逐条分析采纳情况，形成意见汇总处理表。</w:t>
      </w:r>
    </w:p>
    <w:p w14:paraId="1ADD9B76">
      <w:pPr>
        <w:framePr w:wrap="auto" w:vAnchor="margin" w:hAnchor="text" w:yAlign="inline"/>
        <w:spacing w:line="360" w:lineRule="auto"/>
        <w:ind w:firstLine="482"/>
        <w:rPr>
          <w:rFonts w:hint="default" w:ascii="宋体" w:hAnsi="宋体" w:eastAsia="宋体" w:cs="宋体"/>
          <w:sz w:val="24"/>
          <w:szCs w:val="24"/>
        </w:rPr>
      </w:pPr>
      <w:r>
        <w:rPr>
          <w:rFonts w:hint="default" w:ascii="宋体" w:hAnsi="宋体" w:eastAsia="宋体" w:cs="宋体"/>
          <w:sz w:val="24"/>
          <w:szCs w:val="24"/>
        </w:rPr>
        <w:t>3.根据意见修改完善，形成标准送审稿，准备进入专家审查阶段。</w:t>
      </w:r>
    </w:p>
    <w:p w14:paraId="02BE425A">
      <w:pPr>
        <w:framePr w:wrap="auto" w:vAnchor="margin" w:hAnchor="text" w:yAlign="inline"/>
        <w:spacing w:line="360" w:lineRule="auto"/>
        <w:ind w:firstLine="482"/>
        <w:rPr>
          <w:rFonts w:hint="default" w:ascii="宋体" w:hAnsi="宋体" w:eastAsia="宋体" w:cs="宋体"/>
          <w:b/>
          <w:bCs/>
          <w:kern w:val="0"/>
          <w:sz w:val="24"/>
          <w:szCs w:val="24"/>
          <w:lang w:val="zh-TW" w:eastAsia="zh-TW"/>
        </w:rPr>
      </w:pPr>
      <w:r>
        <w:rPr>
          <w:rFonts w:ascii="宋体" w:hAnsi="宋体" w:eastAsia="宋体" w:cs="宋体"/>
          <w:b/>
          <w:bCs/>
          <w:kern w:val="0"/>
          <w:sz w:val="24"/>
          <w:szCs w:val="24"/>
          <w:lang w:val="zh-TW" w:eastAsia="zh-TW"/>
        </w:rPr>
        <w:t>四、标准的主要内容和依据</w:t>
      </w:r>
    </w:p>
    <w:p w14:paraId="25BCF84F">
      <w:pPr>
        <w:framePr w:wrap="auto" w:vAnchor="margin" w:hAnchor="text" w:yAlign="inline"/>
        <w:spacing w:line="360" w:lineRule="auto"/>
        <w:ind w:firstLine="477" w:firstLineChars="198"/>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（一）主要内容</w:t>
      </w:r>
    </w:p>
    <w:p w14:paraId="19E3F25E">
      <w:pPr>
        <w:framePr w:wrap="auto" w:vAnchor="margin" w:hAnchor="text" w:yAlign="inline"/>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本团体标准主要围绕校企协同育人全流程质量监控与评价，核心技术内容主要分为以下六大部分：</w:t>
      </w:r>
    </w:p>
    <w:p w14:paraId="294C66B9">
      <w:pPr>
        <w:framePr w:wrap="auto" w:vAnchor="margin" w:hAnchor="text" w:yAlign="inline"/>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1.范围与术语定义。明确标准适用范围，界定校企协同育人、质量监控、质量评价、双主体管理等核心术语，统一概念口径，为标准实施奠定基础。</w:t>
      </w:r>
    </w:p>
    <w:p w14:paraId="57F3661F">
      <w:pPr>
        <w:framePr w:wrap="auto" w:vAnchor="margin" w:hAnchor="text" w:yAlign="inline"/>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2.总体框架与组织保障。确立校企双主体质量管控组织架构，明确高校、企业、行业协会、第三方机构职责分工；建立协同育人质量保障机制、沟通机制、责任机制与考核机制，保障监控评价工作常态化运行。</w:t>
      </w:r>
    </w:p>
    <w:p w14:paraId="3DE38E12">
      <w:pPr>
        <w:framePr w:wrap="auto" w:vAnchor="margin" w:hAnchor="text" w:yAlign="inline"/>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质量监控体系。构建事前、事中、事后全流程监控体系，主要包括：事前监控：人才培养方案共同制定、课程体系共建、师资共培、实训基地共建等前期筹备质量。事中监控：教学过程、实训实习、企业实践、学生管理、安全管理等实施过程质量。事后监控：教学档案、实训记录、过程考核、校企沟通反馈等闭环管理。</w:t>
      </w:r>
    </w:p>
    <w:p w14:paraId="614E00FA">
      <w:pPr>
        <w:framePr w:wrap="auto" w:vAnchor="margin" w:hAnchor="text" w:yAlign="inline"/>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质量评价指标体系。设置一级指标、二级指标、观测点及评分标准，主要维度包括：协同育人基础条件（组织架构、制度建设、资源投入）；人才培养过程质量（课程共建、师资共育、实训教学、企业实习）；学生培养成效（技能水平、就业质量、职业素养、竞赛成果）；企业与社会满意度（企业评价、行业评价、学生及家长满意度）；持续改进成效（问题整改、质量提升、模式创新）。</w:t>
      </w:r>
    </w:p>
    <w:p w14:paraId="59D7BEB2">
      <w:pPr>
        <w:framePr w:wrap="auto" w:vAnchor="margin" w:hAnchor="text" w:yAlign="inline"/>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5.校企协同育人评价标准。规定校企合作基础与机制、资源投入与共享、育人过程质量、育人成果与效益、可持续发展能力，保证评价规范、客观、可落地。 </w:t>
      </w:r>
    </w:p>
    <w:p w14:paraId="1304702C">
      <w:pPr>
        <w:framePr w:wrap="auto" w:vAnchor="margin" w:hAnchor="text" w:yAlign="inline"/>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6.结果应用与持续改进。明确评价结果在专业建设、校企合作考核、师资激励、人才培养方案优化中的应用方式，建立问题整改、跟踪复查、动态修订的持续改进机制。</w:t>
      </w:r>
    </w:p>
    <w:p w14:paraId="56244E5F">
      <w:pPr>
        <w:framePr w:wrap="auto" w:vAnchor="margin" w:hAnchor="text" w:yAlign="inline"/>
        <w:spacing w:line="360" w:lineRule="auto"/>
        <w:ind w:firstLine="477" w:firstLineChars="198"/>
        <w:rPr>
          <w:rFonts w:hint="default"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二）主要依据</w:t>
      </w:r>
    </w:p>
    <w:p w14:paraId="63025B65">
      <w:pPr>
        <w:framePr w:wrap="auto" w:vAnchor="margin" w:hAnchor="text" w:yAlign="inline"/>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国家政策依据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国家职业教育改革实施方案》（职教二十条），明确提出健全职业教育质量评价体系，深化产教融合、校企合作，建立多方参与的质量监控机制。《职业教育提质培优行动计划》，要求完善校企协同育人质量保障体系，强化过程监控与多元评价。《</w:t>
      </w:r>
      <w:r>
        <w:rPr>
          <w:rFonts w:hint="eastAsia" w:ascii="宋体" w:hAnsi="宋体" w:eastAsia="宋体" w:cs="宋体"/>
          <w:color w:val="auto"/>
          <w:sz w:val="24"/>
          <w:szCs w:val="24"/>
          <w:lang w:val="en-US" w:eastAsia="zh-CN"/>
        </w:rPr>
        <w:t>关于</w:t>
      </w:r>
      <w:r>
        <w:rPr>
          <w:rFonts w:hint="eastAsia" w:ascii="宋体" w:hAnsi="宋体" w:eastAsia="宋体" w:cs="宋体"/>
          <w:color w:val="auto"/>
          <w:sz w:val="24"/>
          <w:szCs w:val="24"/>
        </w:rPr>
        <w:t>深化现代职业教育体系建设改革的意见》，强调健全职业教育质量评价制度，推动行业企业深度参与人才培养质量评价。</w:t>
      </w:r>
    </w:p>
    <w:p w14:paraId="2C181345">
      <w:pPr>
        <w:framePr w:wrap="auto" w:vAnchor="margin" w:hAnchor="text" w:yAlign="inline"/>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《职业学校校企合作促进办法》，规定校企共同开展人才培养质量考核与评价工作。</w:t>
      </w:r>
    </w:p>
    <w:p w14:paraId="7350E828">
      <w:pPr>
        <w:framePr w:wrap="auto" w:vAnchor="margin" w:hAnchor="text" w:yAlign="inline"/>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教育法规依据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中华人民共和国职业教育法》，明确职业教育实行政府统筹、行业指导、企业参与、学校为主的办学机制，建立健全质量评价和督导制度。《中华人民共和国高等教育法》《中华人民共和国教师法》中关于人才培养质量保障、教学过程管理的相关规定。 </w:t>
      </w:r>
    </w:p>
    <w:p w14:paraId="3A58FAD6">
      <w:pPr>
        <w:framePr w:wrap="auto" w:vAnchor="margin" w:hAnchor="text" w:yAlign="inline"/>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行业与院校依据</w:t>
      </w:r>
    </w:p>
    <w:p w14:paraId="12F7C586">
      <w:pPr>
        <w:framePr w:wrap="auto" w:vAnchor="margin" w:hAnchor="text" w:yAlign="inline"/>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相关行业人才培养标准、职业技能等级标准、岗位能力规范。</w:t>
      </w:r>
    </w:p>
    <w:p w14:paraId="10C5D03A">
      <w:pPr>
        <w:framePr w:wrap="auto" w:vAnchor="margin" w:hAnchor="text" w:yAlign="inline"/>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地方教育主管部门关于职业教育质量诊断与改进、校企合作管理的相关文件。</w:t>
      </w:r>
    </w:p>
    <w:p w14:paraId="07F8B07A">
      <w:pPr>
        <w:framePr w:wrap="auto" w:vAnchor="margin" w:hAnchor="text" w:yAlign="inline"/>
        <w:spacing w:line="360" w:lineRule="auto"/>
        <w:ind w:firstLine="480" w:firstLineChars="200"/>
        <w:rPr>
          <w:rFonts w:hint="default"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学校内部教学管理、质量保障、校企合作管理等规章制度。</w:t>
      </w:r>
    </w:p>
    <w:p w14:paraId="55D8ACB9">
      <w:pPr>
        <w:framePr w:wrap="auto" w:vAnchor="margin" w:hAnchor="text" w:yAlign="inline"/>
        <w:spacing w:line="360" w:lineRule="auto"/>
        <w:ind w:firstLine="482"/>
        <w:rPr>
          <w:rFonts w:hint="default" w:ascii="宋体" w:hAnsi="宋体" w:eastAsia="宋体" w:cs="宋体"/>
          <w:b/>
          <w:bCs/>
          <w:kern w:val="0"/>
          <w:sz w:val="24"/>
          <w:szCs w:val="24"/>
          <w:lang w:val="zh-TW" w:eastAsia="zh-TW"/>
        </w:rPr>
      </w:pPr>
      <w:r>
        <w:rPr>
          <w:rFonts w:ascii="宋体" w:hAnsi="宋体" w:eastAsia="宋体" w:cs="宋体"/>
          <w:b/>
          <w:bCs/>
          <w:kern w:val="0"/>
          <w:sz w:val="24"/>
          <w:szCs w:val="24"/>
          <w:lang w:val="zh-TW" w:eastAsia="zh-TW"/>
        </w:rPr>
        <w:t>五、标准的水平</w:t>
      </w:r>
    </w:p>
    <w:p w14:paraId="12B184F5">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一）</w:t>
      </w:r>
      <w:r>
        <w:rPr>
          <w:rFonts w:hint="eastAsia" w:ascii="宋体" w:hAnsi="宋体" w:eastAsia="宋体" w:cs="宋体"/>
          <w:b/>
          <w:bCs/>
          <w:color w:val="000000"/>
          <w:sz w:val="24"/>
          <w:szCs w:val="24"/>
          <w:lang w:val="zh-TW" w:eastAsia="zh-TW"/>
        </w:rPr>
        <w:t>总体水平</w:t>
      </w:r>
    </w:p>
    <w:p w14:paraId="2B5780C6">
      <w:pPr>
        <w:framePr w:wrap="auto" w:vAnchor="margin" w:hAnchor="text" w:yAlign="inline"/>
        <w:spacing w:line="360" w:lineRule="auto"/>
        <w:ind w:firstLine="480" w:firstLineChars="200"/>
        <w:rPr>
          <w:rFonts w:hint="eastAsia" w:hAnsi="宋体" w:eastAsia="宋体" w:cs="宋体"/>
          <w:kern w:val="2"/>
          <w:sz w:val="24"/>
          <w:szCs w:val="24"/>
          <w:u w:color="000000"/>
          <w:lang w:val="zh-TW" w:eastAsia="zh-TW"/>
        </w:rPr>
      </w:pPr>
      <w:r>
        <w:rPr>
          <w:rFonts w:hint="eastAsia" w:ascii="宋体" w:hAnsi="宋体" w:eastAsia="宋体" w:cs="宋体"/>
          <w:color w:val="auto"/>
          <w:sz w:val="24"/>
          <w:szCs w:val="24"/>
          <w:lang w:val="zh-TW" w:eastAsia="zh-TW"/>
        </w:rPr>
        <w:t>本团体标准立足新时代职业教育产教融合、校企协同育人改革发展要求，紧密对接</w:t>
      </w:r>
      <w:r>
        <w:rPr>
          <w:rFonts w:hint="eastAsia" w:ascii="宋体" w:hAnsi="宋体" w:eastAsia="宋体" w:cs="宋体"/>
          <w:color w:val="auto"/>
          <w:sz w:val="24"/>
          <w:szCs w:val="24"/>
          <w:lang w:val="zh-TW" w:eastAsia="zh-CN"/>
        </w:rPr>
        <w:t>高职院校</w:t>
      </w:r>
      <w:r>
        <w:rPr>
          <w:rFonts w:hint="eastAsia" w:ascii="宋体" w:hAnsi="宋体" w:eastAsia="宋体" w:cs="宋体"/>
          <w:color w:val="auto"/>
          <w:sz w:val="24"/>
          <w:szCs w:val="24"/>
          <w:lang w:val="zh-TW" w:eastAsia="zh-TW"/>
        </w:rPr>
        <w:t xml:space="preserve">人才培养质量提升实际需求，整体达到国内同类团体标准先进水平，填补了校企协同育人领域在质量监控与评价方面的统一规范空白，可作为行业内院校、企业开展协同育人质量管控的指导性标准。 </w:t>
      </w:r>
    </w:p>
    <w:p w14:paraId="51CB7F46">
      <w:pPr>
        <w:framePr w:wrap="auto" w:vAnchor="margin" w:hAnchor="text" w:yAlign="inline"/>
        <w:spacing w:line="360" w:lineRule="auto"/>
        <w:ind w:firstLine="475" w:firstLineChars="198"/>
        <w:rPr>
          <w:rFonts w:hint="eastAsia" w:ascii="宋体" w:hAnsi="宋体" w:eastAsia="宋体" w:cs="宋体"/>
          <w:b/>
          <w:bCs/>
          <w:color w:val="000000"/>
          <w:sz w:val="24"/>
          <w:szCs w:val="24"/>
          <w:lang w:val="zh-TW" w:eastAsia="zh-TW"/>
        </w:rPr>
      </w:pPr>
      <w:r>
        <w:rPr>
          <w:rFonts w:hint="eastAsia" w:hAnsi="宋体" w:eastAsia="宋体" w:cs="宋体"/>
          <w:kern w:val="2"/>
          <w:sz w:val="24"/>
          <w:szCs w:val="24"/>
          <w:u w:color="000000"/>
          <w:lang w:val="zh-TW" w:eastAsia="zh-CN"/>
        </w:rPr>
        <w:t>（</w:t>
      </w:r>
      <w:r>
        <w:rPr>
          <w:rFonts w:hint="eastAsia" w:hAnsi="宋体" w:eastAsia="宋体" w:cs="宋体"/>
          <w:kern w:val="2"/>
          <w:sz w:val="24"/>
          <w:szCs w:val="24"/>
          <w:u w:color="000000"/>
          <w:lang w:val="en-US" w:eastAsia="zh-CN"/>
        </w:rPr>
        <w:t>二）</w:t>
      </w:r>
      <w:r>
        <w:rPr>
          <w:rFonts w:hint="eastAsia" w:ascii="宋体" w:hAnsi="宋体" w:eastAsia="宋体" w:cs="宋体"/>
          <w:b/>
          <w:bCs/>
          <w:color w:val="000000"/>
          <w:sz w:val="24"/>
          <w:szCs w:val="24"/>
          <w:lang w:val="zh-TW" w:eastAsia="zh-TW"/>
        </w:rPr>
        <w:t xml:space="preserve">先进性 </w:t>
      </w:r>
    </w:p>
    <w:p w14:paraId="784006BD">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1.标准构建了校企双主体协同的全流程质量监控体系，突破传统单一院校评价模式，将企业评价纳入核心环节，符合现代职业教育质量治理发展趋势。</w:t>
      </w:r>
    </w:p>
    <w:p w14:paraId="210219B3">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2.指标体系兼顾过程监控与结果评价，实现事前、事中、事后闭环管理，指标设计科学、量化程度高，具有较强的引领性。</w:t>
      </w:r>
    </w:p>
    <w:p w14:paraId="2678F535">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 xml:space="preserve">3.紧密对接国家职业教育改革、现场工程师培养、产教融合等最新政策导向，能够有效支撑职业教育高质量发展。 </w:t>
      </w:r>
    </w:p>
    <w:p w14:paraId="250424CC">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三）</w:t>
      </w:r>
      <w:r>
        <w:rPr>
          <w:rFonts w:hint="eastAsia" w:ascii="宋体" w:hAnsi="宋体" w:eastAsia="宋体" w:cs="宋体"/>
          <w:b/>
          <w:bCs/>
          <w:color w:val="000000"/>
          <w:sz w:val="24"/>
          <w:szCs w:val="24"/>
          <w:lang w:val="zh-TW" w:eastAsia="zh-TW"/>
        </w:rPr>
        <w:t>创新性</w:t>
      </w:r>
    </w:p>
    <w:p w14:paraId="42853FD2">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1.首次系统提出校企协同育人质量监控与评价一体化框架，将质量监控、评价实施、结果应用、持续改进形成完整闭环。</w:t>
      </w:r>
    </w:p>
    <w:p w14:paraId="58C5B041">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2.创新引入校企联合评价、第三方评价相结合的多元评价机制，突出企业在育人质量评价中的话语权。</w:t>
      </w:r>
    </w:p>
    <w:p w14:paraId="3581F2E9">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3.针对校企协同育人痛点问题，设置可量化、可落地的观测点，解决以往评价虚化、空化、难以考核的问题。</w:t>
      </w:r>
    </w:p>
    <w:p w14:paraId="4BD89B3B">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四）</w:t>
      </w:r>
      <w:r>
        <w:rPr>
          <w:rFonts w:hint="eastAsia" w:ascii="宋体" w:hAnsi="宋体" w:eastAsia="宋体" w:cs="宋体"/>
          <w:b/>
          <w:bCs/>
          <w:color w:val="000000"/>
          <w:sz w:val="24"/>
          <w:szCs w:val="24"/>
          <w:lang w:val="zh-TW" w:eastAsia="zh-TW"/>
        </w:rPr>
        <w:t>适用性与实用性</w:t>
      </w:r>
    </w:p>
    <w:p w14:paraId="2A2557E0">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本标准结构清晰、内容简洁、操作性强，适用于</w:t>
      </w:r>
      <w:r>
        <w:rPr>
          <w:rFonts w:hint="eastAsia" w:ascii="宋体" w:hAnsi="宋体" w:eastAsia="宋体" w:cs="宋体"/>
          <w:color w:val="auto"/>
          <w:sz w:val="24"/>
          <w:szCs w:val="24"/>
          <w:lang w:val="en-US" w:eastAsia="zh-CN"/>
        </w:rPr>
        <w:t>高职</w:t>
      </w:r>
      <w:r>
        <w:rPr>
          <w:rFonts w:hint="eastAsia" w:ascii="宋体" w:hAnsi="宋体" w:eastAsia="宋体" w:cs="宋体"/>
          <w:color w:val="auto"/>
          <w:sz w:val="24"/>
          <w:szCs w:val="24"/>
          <w:lang w:val="zh-TW" w:eastAsia="zh-TW"/>
        </w:rPr>
        <w:t>院校、应用型本科院校及合作企业开展校企协同育人质量管控，兼顾不同地区、不同专业类型的差异化需求，推广应用门槛低，便于在行业内复制推广</w:t>
      </w:r>
      <w:r>
        <w:rPr>
          <w:rFonts w:hint="eastAsia" w:ascii="宋体" w:hAnsi="宋体" w:eastAsia="宋体" w:cs="宋体"/>
          <w:color w:val="auto"/>
          <w:sz w:val="24"/>
          <w:szCs w:val="24"/>
          <w:lang w:val="zh-TW" w:eastAsia="zh-CN"/>
        </w:rPr>
        <w:t>。</w:t>
      </w:r>
      <w:r>
        <w:rPr>
          <w:rFonts w:hint="eastAsia" w:ascii="宋体" w:hAnsi="宋体" w:eastAsia="宋体" w:cs="宋体"/>
          <w:color w:val="auto"/>
          <w:sz w:val="24"/>
          <w:szCs w:val="24"/>
          <w:lang w:val="zh-TW" w:eastAsia="zh-TW"/>
        </w:rPr>
        <w:t xml:space="preserve"> </w:t>
      </w:r>
    </w:p>
    <w:p w14:paraId="36C29C96">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五）</w:t>
      </w:r>
      <w:r>
        <w:rPr>
          <w:rFonts w:hint="eastAsia" w:ascii="宋体" w:hAnsi="宋体" w:eastAsia="宋体" w:cs="宋体"/>
          <w:b/>
          <w:bCs/>
          <w:color w:val="000000"/>
          <w:sz w:val="24"/>
          <w:szCs w:val="24"/>
          <w:lang w:val="zh-TW" w:eastAsia="zh-TW"/>
        </w:rPr>
        <w:t>与国内外同类标准对比</w:t>
      </w:r>
    </w:p>
    <w:p w14:paraId="4B94CBCD">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目前国内暂无统一的校企协同育人质量监控与评价国家标准、行业标准，相关研究多为院校内部评价体系，本标准在体系完整性、双主体协同机制、评价闭环设计方面处于国内领先水平；相较于国外职业教育评价标准，更贴合我国产教融合政策环境与校企合作实际，本土化适配性更强。</w:t>
      </w:r>
    </w:p>
    <w:p w14:paraId="3384D0D5">
      <w:pPr>
        <w:framePr w:wrap="auto" w:vAnchor="margin" w:hAnchor="text" w:yAlign="inline"/>
        <w:spacing w:line="360" w:lineRule="auto"/>
        <w:ind w:firstLine="482"/>
        <w:rPr>
          <w:rFonts w:hint="default" w:ascii="宋体" w:hAnsi="宋体" w:eastAsia="宋体" w:cs="宋体"/>
          <w:b/>
          <w:bCs/>
          <w:kern w:val="0"/>
          <w:sz w:val="24"/>
          <w:szCs w:val="24"/>
          <w:lang w:val="zh-TW" w:eastAsia="zh-TW"/>
        </w:rPr>
      </w:pPr>
      <w:r>
        <w:rPr>
          <w:rFonts w:ascii="宋体" w:hAnsi="宋体" w:eastAsia="宋体" w:cs="宋体"/>
          <w:b/>
          <w:bCs/>
          <w:kern w:val="0"/>
          <w:sz w:val="24"/>
          <w:szCs w:val="24"/>
          <w:lang w:val="zh-TW" w:eastAsia="zh-TW"/>
        </w:rPr>
        <w:t>六、与有关的现行</w:t>
      </w:r>
      <w:r>
        <w:rPr>
          <w:rFonts w:hint="eastAsia" w:ascii="宋体" w:hAnsi="宋体" w:eastAsia="宋体" w:cs="宋体"/>
          <w:b/>
          <w:bCs/>
          <w:kern w:val="0"/>
          <w:sz w:val="24"/>
          <w:szCs w:val="24"/>
          <w:lang w:val="zh-TW" w:eastAsia="zh-CN"/>
        </w:rPr>
        <w:t>法律法规</w:t>
      </w:r>
      <w:r>
        <w:rPr>
          <w:rFonts w:ascii="宋体" w:hAnsi="宋体" w:eastAsia="宋体" w:cs="宋体"/>
          <w:b/>
          <w:bCs/>
          <w:kern w:val="0"/>
          <w:sz w:val="24"/>
          <w:szCs w:val="24"/>
          <w:lang w:val="zh-TW" w:eastAsia="zh-TW"/>
        </w:rPr>
        <w:t>和强制性国家标准的关系</w:t>
      </w:r>
    </w:p>
    <w:p w14:paraId="3CA5AE72">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一）</w:t>
      </w:r>
      <w:r>
        <w:rPr>
          <w:rFonts w:hint="eastAsia" w:ascii="宋体" w:hAnsi="宋体" w:eastAsia="宋体" w:cs="宋体"/>
          <w:b/>
          <w:bCs/>
          <w:color w:val="000000"/>
          <w:sz w:val="24"/>
          <w:szCs w:val="24"/>
          <w:lang w:val="zh-TW" w:eastAsia="zh-TW"/>
        </w:rPr>
        <w:t>本标准严格遵循上位法律法规要求，不抵触、不冲突</w:t>
      </w:r>
    </w:p>
    <w:p w14:paraId="41CECA98">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本团体标准的编制以《中华人民共和国职业教育法》《中华人民共和国高等教育法》《</w:t>
      </w:r>
      <w:r>
        <w:rPr>
          <w:rFonts w:hint="eastAsia" w:ascii="宋体" w:hAnsi="宋体" w:eastAsia="宋体" w:cs="宋体"/>
          <w:color w:val="auto"/>
          <w:sz w:val="24"/>
          <w:szCs w:val="24"/>
          <w:lang w:val="en-US" w:eastAsia="zh-CN"/>
        </w:rPr>
        <w:t>国家</w:t>
      </w:r>
      <w:r>
        <w:rPr>
          <w:rFonts w:hint="eastAsia" w:ascii="宋体" w:hAnsi="宋体" w:eastAsia="宋体" w:cs="宋体"/>
          <w:color w:val="auto"/>
          <w:sz w:val="24"/>
          <w:szCs w:val="24"/>
          <w:lang w:val="zh-TW" w:eastAsia="zh-TW"/>
        </w:rPr>
        <w:t>产教融合建设试点实施方案》《职业学校校企合作促进办法》等国家法律法规、部门规章及政策文件为根本依据，所有条款均符合现行</w:t>
      </w:r>
      <w:r>
        <w:rPr>
          <w:rFonts w:hint="eastAsia" w:ascii="宋体" w:hAnsi="宋体" w:eastAsia="宋体" w:cs="宋体"/>
          <w:color w:val="auto"/>
          <w:sz w:val="24"/>
          <w:szCs w:val="24"/>
          <w:lang w:val="zh-TW" w:eastAsia="zh-CN"/>
        </w:rPr>
        <w:t>法律法规</w:t>
      </w:r>
      <w:r>
        <w:rPr>
          <w:rFonts w:hint="eastAsia" w:ascii="宋体" w:hAnsi="宋体" w:eastAsia="宋体" w:cs="宋体"/>
          <w:color w:val="auto"/>
          <w:sz w:val="24"/>
          <w:szCs w:val="24"/>
          <w:lang w:val="zh-TW" w:eastAsia="zh-TW"/>
        </w:rPr>
        <w:t>规定，未创设与上位法相违背的内容，确保标准合法合规。</w:t>
      </w:r>
    </w:p>
    <w:p w14:paraId="38021A92">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二）</w:t>
      </w:r>
      <w:r>
        <w:rPr>
          <w:rFonts w:hint="eastAsia" w:ascii="宋体" w:hAnsi="宋体" w:eastAsia="宋体" w:cs="宋体"/>
          <w:b/>
          <w:bCs/>
          <w:color w:val="000000"/>
          <w:sz w:val="24"/>
          <w:szCs w:val="24"/>
          <w:lang w:val="zh-TW" w:eastAsia="zh-TW"/>
        </w:rPr>
        <w:t>与现行强制性国家标准保持协调一致</w:t>
      </w:r>
    </w:p>
    <w:p w14:paraId="197EDDA6">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目前我国暂无针对“校企协同育人质量监控与评价”的强制性国家标准。本标准在内容设置、质量要求、安全规范、管理流程等方面，严格遵循职业教育、教育管理、质量管理领域相关强制性国家标准的通用要求，如教育信息化、实训安全、质量管理体系等基础强制性规范，不降低强制性标准规定的底线要求，与现行国标保持协调统一。</w:t>
      </w:r>
    </w:p>
    <w:p w14:paraId="0B6D37E1">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三）</w:t>
      </w:r>
      <w:r>
        <w:rPr>
          <w:rFonts w:hint="eastAsia" w:ascii="宋体" w:hAnsi="宋体" w:eastAsia="宋体" w:cs="宋体"/>
          <w:b/>
          <w:bCs/>
          <w:color w:val="000000"/>
          <w:sz w:val="24"/>
          <w:szCs w:val="24"/>
          <w:lang w:val="zh-TW" w:eastAsia="zh-TW"/>
        </w:rPr>
        <w:t>作为推荐性团体标准，对现行法规和国标形成补充和细化</w:t>
      </w:r>
    </w:p>
    <w:p w14:paraId="39607DAE">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TW"/>
        </w:rPr>
      </w:pPr>
      <w:r>
        <w:rPr>
          <w:rFonts w:hint="eastAsia" w:ascii="宋体" w:hAnsi="宋体" w:eastAsia="宋体" w:cs="宋体"/>
          <w:color w:val="auto"/>
          <w:sz w:val="24"/>
          <w:szCs w:val="24"/>
          <w:lang w:val="zh-TW" w:eastAsia="zh-TW"/>
        </w:rPr>
        <w:t>在国家法律法规、强制性国标宏观框架基础上，本团体标准对校企协同育人的质量监控流程、评价指标、实施机制、双主体权责进行了具体化、可操作化的细化，填补了现行法规、国标在专项评价体系上的空白，属于对上位法规和标准的延伸、补充与落地实施规范，为院校、企业落实政策要求提供技术支撑。</w:t>
      </w:r>
    </w:p>
    <w:p w14:paraId="7153A276">
      <w:pPr>
        <w:framePr w:wrap="auto" w:vAnchor="margin" w:hAnchor="text" w:yAlign="inline"/>
        <w:spacing w:line="360" w:lineRule="auto"/>
        <w:ind w:firstLine="482"/>
        <w:rPr>
          <w:rFonts w:hint="eastAsia" w:ascii="宋体" w:hAnsi="宋体" w:eastAsia="宋体" w:cs="宋体"/>
          <w:color w:val="auto"/>
          <w:sz w:val="24"/>
          <w:szCs w:val="24"/>
          <w:lang w:val="zh-TW"/>
        </w:rPr>
      </w:pPr>
      <w:r>
        <w:rPr>
          <w:rFonts w:ascii="宋体" w:hAnsi="宋体" w:eastAsia="宋体" w:cs="宋体"/>
          <w:b/>
          <w:bCs/>
          <w:kern w:val="0"/>
          <w:sz w:val="24"/>
          <w:szCs w:val="24"/>
          <w:lang w:val="zh-TW" w:eastAsia="zh-TW"/>
        </w:rPr>
        <w:t>七、贯彻标准的要求和措施建议</w:t>
      </w:r>
      <w:r>
        <w:rPr>
          <w:rFonts w:hint="eastAsia" w:ascii="宋体" w:hAnsi="宋体" w:eastAsia="宋体" w:cs="宋体"/>
          <w:color w:val="auto"/>
          <w:sz w:val="24"/>
          <w:szCs w:val="24"/>
          <w:lang w:val="zh-TW"/>
        </w:rPr>
        <w:t xml:space="preserve"> </w:t>
      </w:r>
    </w:p>
    <w:p w14:paraId="1F1A0294">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TW"/>
        </w:rPr>
        <w:t>（一）健全校企协同组织管理机制</w:t>
      </w:r>
    </w:p>
    <w:p w14:paraId="4E90C058">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建议各</w:t>
      </w:r>
      <w:r>
        <w:rPr>
          <w:rFonts w:hint="eastAsia" w:ascii="宋体" w:hAnsi="宋体" w:eastAsia="宋体" w:cs="宋体"/>
          <w:color w:val="auto"/>
          <w:sz w:val="24"/>
          <w:szCs w:val="24"/>
          <w:lang w:val="zh-TW" w:eastAsia="zh-CN"/>
        </w:rPr>
        <w:t>高职院校</w:t>
      </w:r>
      <w:r>
        <w:rPr>
          <w:rFonts w:hint="eastAsia" w:ascii="宋体" w:hAnsi="宋体" w:eastAsia="宋体" w:cs="宋体"/>
          <w:color w:val="auto"/>
          <w:sz w:val="24"/>
          <w:szCs w:val="24"/>
          <w:lang w:val="zh-TW"/>
        </w:rPr>
        <w:t>、合作企业参照本标准，建立校企双主体协同育人质量管理工作组，明确</w:t>
      </w:r>
      <w:r>
        <w:rPr>
          <w:rFonts w:hint="eastAsia" w:ascii="宋体" w:hAnsi="宋体" w:eastAsia="宋体" w:cs="宋体"/>
          <w:color w:val="auto"/>
          <w:sz w:val="24"/>
          <w:szCs w:val="24"/>
          <w:lang w:val="zh-TW" w:eastAsia="zh-CN"/>
        </w:rPr>
        <w:t>高校</w:t>
      </w:r>
      <w:r>
        <w:rPr>
          <w:rFonts w:hint="eastAsia" w:ascii="宋体" w:hAnsi="宋体" w:eastAsia="宋体" w:cs="宋体"/>
          <w:color w:val="auto"/>
          <w:sz w:val="24"/>
          <w:szCs w:val="24"/>
          <w:lang w:val="zh-TW"/>
        </w:rPr>
        <w:t>二级学院、专业团队、</w:t>
      </w:r>
      <w:r>
        <w:rPr>
          <w:rFonts w:hint="eastAsia" w:ascii="宋体" w:hAnsi="宋体" w:eastAsia="宋体" w:cs="宋体"/>
          <w:color w:val="auto"/>
          <w:sz w:val="24"/>
          <w:szCs w:val="24"/>
          <w:lang w:val="en-US" w:eastAsia="zh-CN"/>
        </w:rPr>
        <w:t>产业</w:t>
      </w:r>
      <w:r>
        <w:rPr>
          <w:rFonts w:hint="eastAsia" w:ascii="宋体" w:hAnsi="宋体" w:eastAsia="宋体" w:cs="宋体"/>
          <w:color w:val="auto"/>
          <w:sz w:val="24"/>
          <w:szCs w:val="24"/>
          <w:lang w:val="zh-TW"/>
        </w:rPr>
        <w:t>导师的职责分工，完善常态化沟通、联合督导、问题会商工作机制，实现育人质量共管共治、责任到人。</w:t>
      </w:r>
    </w:p>
    <w:p w14:paraId="79CFAA11">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TW"/>
        </w:rPr>
        <w:t>（二）完善配套制度与工作规范</w:t>
      </w:r>
    </w:p>
    <w:p w14:paraId="35472485">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依据本标准修订</w:t>
      </w:r>
      <w:r>
        <w:rPr>
          <w:rFonts w:hint="eastAsia" w:ascii="宋体" w:hAnsi="宋体" w:eastAsia="宋体" w:cs="宋体"/>
          <w:color w:val="auto"/>
          <w:sz w:val="24"/>
          <w:szCs w:val="24"/>
          <w:lang w:val="zh-TW" w:eastAsia="zh-CN"/>
        </w:rPr>
        <w:t>高校</w:t>
      </w:r>
      <w:r>
        <w:rPr>
          <w:rFonts w:hint="eastAsia" w:ascii="宋体" w:hAnsi="宋体" w:eastAsia="宋体" w:cs="宋体"/>
          <w:color w:val="auto"/>
          <w:sz w:val="24"/>
          <w:szCs w:val="24"/>
          <w:lang w:val="en-US" w:eastAsia="zh-CN"/>
        </w:rPr>
        <w:t>产教融合</w:t>
      </w:r>
      <w:r>
        <w:rPr>
          <w:rFonts w:hint="eastAsia" w:ascii="宋体" w:hAnsi="宋体" w:eastAsia="宋体" w:cs="宋体"/>
          <w:color w:val="auto"/>
          <w:sz w:val="24"/>
          <w:szCs w:val="24"/>
          <w:lang w:val="zh-TW"/>
        </w:rPr>
        <w:t>管理办法、实习实训管理规定、育人质量评价细则等内部制度，将标准中的监控要点、评价指标、流程要求全面嵌入人才培养全过程，形成制度文件、过程台账、评价结果、整改记录闭环管理体系，确保标准落地有据可依、有迹可查。</w:t>
      </w:r>
    </w:p>
    <w:p w14:paraId="4E4B68AF">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TW"/>
        </w:rPr>
        <w:t>（三）开展全员宣</w:t>
      </w:r>
      <w:r>
        <w:rPr>
          <w:rFonts w:hint="eastAsia" w:ascii="宋体" w:hAnsi="宋体" w:eastAsia="宋体" w:cs="宋体"/>
          <w:b/>
          <w:bCs/>
          <w:color w:val="000000"/>
          <w:sz w:val="24"/>
          <w:szCs w:val="24"/>
          <w:lang w:val="en-US" w:eastAsia="zh-CN"/>
        </w:rPr>
        <w:t>传</w:t>
      </w:r>
      <w:r>
        <w:rPr>
          <w:rFonts w:hint="eastAsia" w:ascii="宋体" w:hAnsi="宋体" w:eastAsia="宋体" w:cs="宋体"/>
          <w:b/>
          <w:bCs/>
          <w:color w:val="000000"/>
          <w:sz w:val="24"/>
          <w:szCs w:val="24"/>
          <w:lang w:val="zh-TW" w:eastAsia="zh-TW"/>
        </w:rPr>
        <w:t>与专项培训</w:t>
      </w:r>
    </w:p>
    <w:p w14:paraId="77D8FE35">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面向教学管理干部、专业教师、</w:t>
      </w:r>
      <w:r>
        <w:rPr>
          <w:rFonts w:hint="eastAsia" w:ascii="宋体" w:hAnsi="宋体" w:eastAsia="宋体" w:cs="宋体"/>
          <w:color w:val="auto"/>
          <w:sz w:val="24"/>
          <w:szCs w:val="24"/>
          <w:lang w:val="en-US" w:eastAsia="zh-CN"/>
        </w:rPr>
        <w:t>产业</w:t>
      </w:r>
      <w:r>
        <w:rPr>
          <w:rFonts w:hint="eastAsia" w:ascii="宋体" w:hAnsi="宋体" w:eastAsia="宋体" w:cs="宋体"/>
          <w:color w:val="auto"/>
          <w:sz w:val="24"/>
          <w:szCs w:val="24"/>
          <w:lang w:val="zh-TW"/>
        </w:rPr>
        <w:t>导师、实习管理人员开展标准宣</w:t>
      </w:r>
      <w:r>
        <w:rPr>
          <w:rFonts w:hint="eastAsia" w:ascii="宋体" w:hAnsi="宋体" w:eastAsia="宋体" w:cs="宋体"/>
          <w:color w:val="auto"/>
          <w:sz w:val="24"/>
          <w:szCs w:val="24"/>
          <w:lang w:val="en-US" w:eastAsia="zh-CN"/>
        </w:rPr>
        <w:t>传</w:t>
      </w:r>
      <w:r>
        <w:rPr>
          <w:rFonts w:hint="eastAsia" w:ascii="宋体" w:hAnsi="宋体" w:eastAsia="宋体" w:cs="宋体"/>
          <w:color w:val="auto"/>
          <w:sz w:val="24"/>
          <w:szCs w:val="24"/>
          <w:lang w:val="zh-TW"/>
        </w:rPr>
        <w:t>培训，使相关人员熟悉质量监控内容、评价观测要点、数据采集规范及结果应用要求，统一工作认知、统一执行尺度，提升一线人员标准化履职能力。</w:t>
      </w:r>
    </w:p>
    <w:p w14:paraId="6553F368">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TW"/>
        </w:rPr>
        <w:t>（四）建立全过程质量常态化监控体系</w:t>
      </w:r>
    </w:p>
    <w:p w14:paraId="44C7EF01">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严格按照标准要求，对人才培养方案共建、课程共研、师资共育、实训教学、企业跟岗、实习管理、学生职业素养培育等关键环节实施事前审核、事中督导、事后复盘的全流程质量监控，定期开展过程巡查、资料抽查、现场核验，及时纠偏整改。</w:t>
      </w:r>
    </w:p>
    <w:p w14:paraId="5A7939C7">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TW"/>
        </w:rPr>
        <w:t>（五）规范开展周期性评价工作</w:t>
      </w:r>
    </w:p>
    <w:p w14:paraId="560098DB">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各单位应参照标准指标体系，常态化开展校企协同育人自评、校企联合互评，适时引入第三方评价，客观形成年度育人质量评价报告，真实反映协同育人成效、短板问题与改进空间，杜绝评价形式化、随意化。</w:t>
      </w:r>
    </w:p>
    <w:p w14:paraId="6BC5BF02">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TW"/>
        </w:rPr>
        <w:t>（六）强化评价结果应用与持续改进</w:t>
      </w:r>
    </w:p>
    <w:p w14:paraId="35885DD1">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建立评价</w:t>
      </w:r>
      <w:r>
        <w:rPr>
          <w:rFonts w:hint="eastAsia" w:ascii="宋体" w:hAnsi="宋体" w:eastAsia="宋体" w:cs="宋体"/>
          <w:color w:val="auto"/>
          <w:sz w:val="24"/>
          <w:szCs w:val="24"/>
          <w:lang w:val="zh-TW" w:eastAsia="zh-CN"/>
        </w:rPr>
        <w:t>、</w:t>
      </w:r>
      <w:r>
        <w:rPr>
          <w:rFonts w:hint="eastAsia" w:ascii="宋体" w:hAnsi="宋体" w:eastAsia="宋体" w:cs="宋体"/>
          <w:color w:val="auto"/>
          <w:sz w:val="24"/>
          <w:szCs w:val="24"/>
          <w:lang w:val="en-US" w:eastAsia="zh-CN"/>
        </w:rPr>
        <w:t>分</w:t>
      </w:r>
      <w:r>
        <w:rPr>
          <w:rFonts w:hint="eastAsia" w:ascii="宋体" w:hAnsi="宋体" w:eastAsia="宋体" w:cs="宋体"/>
          <w:color w:val="auto"/>
          <w:sz w:val="24"/>
          <w:szCs w:val="24"/>
          <w:lang w:val="zh-TW"/>
        </w:rPr>
        <w:t>析</w:t>
      </w:r>
      <w:r>
        <w:rPr>
          <w:rFonts w:hint="eastAsia" w:ascii="宋体" w:hAnsi="宋体" w:eastAsia="宋体" w:cs="宋体"/>
          <w:color w:val="auto"/>
          <w:sz w:val="24"/>
          <w:szCs w:val="24"/>
          <w:lang w:val="zh-TW" w:eastAsia="zh-CN"/>
        </w:rPr>
        <w:t>、</w:t>
      </w:r>
      <w:r>
        <w:rPr>
          <w:rFonts w:hint="eastAsia" w:ascii="宋体" w:hAnsi="宋体" w:eastAsia="宋体" w:cs="宋体"/>
          <w:color w:val="auto"/>
          <w:sz w:val="24"/>
          <w:szCs w:val="24"/>
          <w:lang w:val="zh-TW"/>
        </w:rPr>
        <w:t>整改</w:t>
      </w:r>
      <w:r>
        <w:rPr>
          <w:rFonts w:hint="eastAsia" w:ascii="宋体" w:hAnsi="宋体" w:eastAsia="宋体" w:cs="宋体"/>
          <w:color w:val="auto"/>
          <w:sz w:val="24"/>
          <w:szCs w:val="24"/>
          <w:lang w:val="zh-TW" w:eastAsia="zh-CN"/>
        </w:rPr>
        <w:t>、</w:t>
      </w:r>
      <w:r>
        <w:rPr>
          <w:rFonts w:hint="eastAsia" w:ascii="宋体" w:hAnsi="宋体" w:eastAsia="宋体" w:cs="宋体"/>
          <w:color w:val="auto"/>
          <w:sz w:val="24"/>
          <w:szCs w:val="24"/>
          <w:lang w:val="zh-TW"/>
        </w:rPr>
        <w:t>提升的质量改进闭环机制，将评价结果用于专业动态调整、人才培养方案优化、校企合作项目迭代、师资考核激励、企业合作等级评定等工作，以评价倒逼育人质量持续提升。</w:t>
      </w:r>
    </w:p>
    <w:p w14:paraId="0B0901FD">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TW"/>
        </w:rPr>
        <w:t>（七）推动行业推广与动态标准完善</w:t>
      </w:r>
    </w:p>
    <w:p w14:paraId="707DD496">
      <w:pPr>
        <w:framePr w:wrap="auto" w:vAnchor="margin" w:hAnchor="text" w:yAlign="inline"/>
        <w:spacing w:line="360" w:lineRule="auto"/>
        <w:ind w:firstLine="480" w:firstLineChars="200"/>
        <w:rPr>
          <w:rFonts w:hint="eastAsia" w:ascii="宋体" w:hAnsi="宋体" w:eastAsia="宋体" w:cs="宋体"/>
          <w:color w:val="auto"/>
          <w:sz w:val="24"/>
          <w:szCs w:val="24"/>
          <w:lang w:val="zh-TW" w:eastAsia="zh-CN"/>
        </w:rPr>
      </w:pPr>
      <w:r>
        <w:rPr>
          <w:rFonts w:hint="eastAsia" w:ascii="宋体" w:hAnsi="宋体" w:eastAsia="宋体" w:cs="宋体"/>
          <w:color w:val="auto"/>
          <w:sz w:val="24"/>
          <w:szCs w:val="24"/>
          <w:lang w:val="zh-TW"/>
        </w:rPr>
        <w:t>行业协会、教研机构可依托本标准开展区域、行业校企育人质量比对分析、典型案例培育与经验推广。同时根据产业升级、职教改革政策变化和实践应用反馈，适时对标准内容进行修订完善，保证标准的先进性、适用性与引领性</w:t>
      </w:r>
      <w:r>
        <w:rPr>
          <w:rFonts w:hint="eastAsia" w:ascii="宋体" w:hAnsi="宋体" w:eastAsia="宋体" w:cs="宋体"/>
          <w:color w:val="auto"/>
          <w:sz w:val="24"/>
          <w:szCs w:val="24"/>
          <w:lang w:val="zh-TW" w:eastAsia="zh-CN"/>
        </w:rPr>
        <w:t>。</w:t>
      </w:r>
      <w:bookmarkStart w:id="0" w:name="_GoBack"/>
      <w:bookmarkEnd w:id="0"/>
    </w:p>
    <w:p w14:paraId="427A0D25">
      <w:pPr>
        <w:framePr w:wrap="auto" w:vAnchor="margin" w:hAnchor="text" w:yAlign="inline"/>
        <w:numPr>
          <w:ilvl w:val="0"/>
          <w:numId w:val="3"/>
        </w:numPr>
        <w:spacing w:line="360" w:lineRule="auto"/>
        <w:ind w:firstLine="482"/>
        <w:rPr>
          <w:rFonts w:ascii="宋体" w:hAnsi="宋体" w:eastAsia="宋体" w:cs="宋体"/>
          <w:b/>
          <w:bCs/>
          <w:kern w:val="0"/>
          <w:sz w:val="24"/>
          <w:szCs w:val="24"/>
          <w:lang w:val="zh-TW" w:eastAsia="zh-TW"/>
        </w:rPr>
      </w:pPr>
      <w:r>
        <w:rPr>
          <w:rFonts w:ascii="宋体" w:hAnsi="宋体" w:eastAsia="宋体" w:cs="宋体"/>
          <w:b/>
          <w:bCs/>
          <w:kern w:val="0"/>
          <w:sz w:val="24"/>
          <w:szCs w:val="24"/>
          <w:lang w:val="zh-TW" w:eastAsia="zh-TW"/>
        </w:rPr>
        <w:t>标准实施的预期效果</w:t>
      </w:r>
    </w:p>
    <w:p w14:paraId="426F57B7">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一）</w:t>
      </w:r>
      <w:r>
        <w:rPr>
          <w:rFonts w:hint="eastAsia" w:ascii="宋体" w:hAnsi="宋体" w:eastAsia="宋体" w:cs="宋体"/>
          <w:b/>
          <w:bCs/>
          <w:color w:val="000000"/>
          <w:sz w:val="24"/>
          <w:szCs w:val="24"/>
          <w:lang w:val="zh-TW" w:eastAsia="zh-TW"/>
        </w:rPr>
        <w:t>实现协同育人工作规范化、标准化</w:t>
      </w:r>
    </w:p>
    <w:p w14:paraId="4D302719">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统一</w:t>
      </w:r>
      <w:r>
        <w:rPr>
          <w:rFonts w:hint="eastAsia" w:ascii="宋体" w:hAnsi="宋体" w:eastAsia="宋体" w:cs="宋体"/>
          <w:color w:val="auto"/>
          <w:sz w:val="24"/>
          <w:szCs w:val="24"/>
          <w:lang w:val="en-US" w:eastAsia="zh-CN"/>
        </w:rPr>
        <w:t>高职</w:t>
      </w:r>
      <w:r>
        <w:rPr>
          <w:rFonts w:hint="eastAsia" w:ascii="宋体" w:hAnsi="宋体" w:eastAsia="宋体" w:cs="宋体"/>
          <w:color w:val="auto"/>
          <w:sz w:val="24"/>
          <w:szCs w:val="24"/>
          <w:lang w:val="zh-TW"/>
        </w:rPr>
        <w:t>院校与合作企业协同育人的质量监控口径、评价指标与实施流程，改变以往各</w:t>
      </w:r>
      <w:r>
        <w:rPr>
          <w:rFonts w:hint="eastAsia" w:ascii="宋体" w:hAnsi="宋体" w:eastAsia="宋体" w:cs="宋体"/>
          <w:color w:val="auto"/>
          <w:sz w:val="24"/>
          <w:szCs w:val="24"/>
          <w:lang w:val="en-US" w:eastAsia="zh-CN"/>
        </w:rPr>
        <w:t>高</w:t>
      </w:r>
      <w:r>
        <w:rPr>
          <w:rFonts w:hint="eastAsia" w:ascii="宋体" w:hAnsi="宋体" w:eastAsia="宋体" w:cs="宋体"/>
          <w:color w:val="auto"/>
          <w:sz w:val="24"/>
          <w:szCs w:val="24"/>
          <w:lang w:val="zh-TW"/>
        </w:rPr>
        <w:t xml:space="preserve">校、各企业评价标准不一、管理碎片化的现状，使校企协同育人全过程有标准可依、有流程可循、有指标可评，显著提升行业整体规范化治理水平。 </w:t>
      </w:r>
    </w:p>
    <w:p w14:paraId="3536DC38">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二）</w:t>
      </w:r>
      <w:r>
        <w:rPr>
          <w:rFonts w:hint="eastAsia" w:ascii="宋体" w:hAnsi="宋体" w:eastAsia="宋体" w:cs="宋体"/>
          <w:b/>
          <w:bCs/>
          <w:color w:val="000000"/>
          <w:sz w:val="24"/>
          <w:szCs w:val="24"/>
          <w:lang w:val="zh-TW" w:eastAsia="zh-TW"/>
        </w:rPr>
        <w:t xml:space="preserve">压实校企双主体育人责任 </w:t>
      </w:r>
    </w:p>
    <w:p w14:paraId="402671AC">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通过标准明确</w:t>
      </w:r>
      <w:r>
        <w:rPr>
          <w:rFonts w:hint="eastAsia" w:ascii="宋体" w:hAnsi="宋体" w:eastAsia="宋体" w:cs="宋体"/>
          <w:color w:val="auto"/>
          <w:sz w:val="24"/>
          <w:szCs w:val="24"/>
          <w:lang w:val="en-US" w:eastAsia="zh-CN"/>
        </w:rPr>
        <w:t>高校</w:t>
      </w:r>
      <w:r>
        <w:rPr>
          <w:rFonts w:hint="eastAsia" w:ascii="宋体" w:hAnsi="宋体" w:eastAsia="宋体" w:cs="宋体"/>
          <w:color w:val="auto"/>
          <w:sz w:val="24"/>
          <w:szCs w:val="24"/>
          <w:lang w:val="zh-TW"/>
        </w:rPr>
        <w:t>育人管理责任与企业实践育人责任，破解“</w:t>
      </w:r>
      <w:r>
        <w:rPr>
          <w:rFonts w:hint="eastAsia" w:ascii="宋体" w:hAnsi="宋体" w:eastAsia="宋体" w:cs="宋体"/>
          <w:color w:val="auto"/>
          <w:sz w:val="24"/>
          <w:szCs w:val="24"/>
          <w:lang w:val="en-US" w:eastAsia="zh-CN"/>
        </w:rPr>
        <w:t>高</w:t>
      </w:r>
      <w:r>
        <w:rPr>
          <w:rFonts w:hint="eastAsia" w:ascii="宋体" w:hAnsi="宋体" w:eastAsia="宋体" w:cs="宋体"/>
          <w:color w:val="auto"/>
          <w:sz w:val="24"/>
          <w:szCs w:val="24"/>
          <w:lang w:val="zh-TW"/>
        </w:rPr>
        <w:t xml:space="preserve">校单打独斗、企业参与流于形式”的问题，推动校企从浅层合作、资源合作转向深度育人合作、质量共建共治，切实落实双主体协同育人机制。 </w:t>
      </w:r>
    </w:p>
    <w:p w14:paraId="0E0CBBA5">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三）</w:t>
      </w:r>
      <w:r>
        <w:rPr>
          <w:rFonts w:hint="eastAsia" w:ascii="宋体" w:hAnsi="宋体" w:eastAsia="宋体" w:cs="宋体"/>
          <w:b/>
          <w:bCs/>
          <w:color w:val="000000"/>
          <w:sz w:val="24"/>
          <w:szCs w:val="24"/>
          <w:lang w:val="zh-TW" w:eastAsia="zh-TW"/>
        </w:rPr>
        <w:t xml:space="preserve">构建全流程闭环质量提升体系 </w:t>
      </w:r>
    </w:p>
    <w:p w14:paraId="236B7C39">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 xml:space="preserve">通过建立事前规范、事中监控、事后评价、持续整改的闭环管理机制，实现对人才培养方案共建、课程共建、师资共育、实训实习、岗位实践等关键环节的精准质量管控，有效减少育人薄弱环节，提升过程育人质量。 </w:t>
      </w:r>
    </w:p>
    <w:p w14:paraId="1CCD1638">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四）</w:t>
      </w:r>
      <w:r>
        <w:rPr>
          <w:rFonts w:hint="eastAsia" w:ascii="宋体" w:hAnsi="宋体" w:eastAsia="宋体" w:cs="宋体"/>
          <w:b/>
          <w:bCs/>
          <w:color w:val="000000"/>
          <w:sz w:val="24"/>
          <w:szCs w:val="24"/>
          <w:lang w:val="zh-TW" w:eastAsia="zh-TW"/>
        </w:rPr>
        <w:t xml:space="preserve">提升人才培养适配度与产出质量 </w:t>
      </w:r>
    </w:p>
    <w:p w14:paraId="3CA6D2D9">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 xml:space="preserve">标准实施后，可精准诊断校企协同育人短板，倒逼专业设置、课程内容、实训项目对接产业岗位需求，持续提升学生职业素养、实践技能与岗位适配能力，有效提高学生实习质量、就业质量与职业发展竞争力。 </w:t>
      </w:r>
    </w:p>
    <w:p w14:paraId="055C2270">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五）</w:t>
      </w:r>
      <w:r>
        <w:rPr>
          <w:rFonts w:hint="eastAsia" w:ascii="宋体" w:hAnsi="宋体" w:eastAsia="宋体" w:cs="宋体"/>
          <w:b/>
          <w:bCs/>
          <w:color w:val="000000"/>
          <w:sz w:val="24"/>
          <w:szCs w:val="24"/>
          <w:lang w:val="zh-TW" w:eastAsia="zh-TW"/>
        </w:rPr>
        <w:t xml:space="preserve">形成可量化、可考核的评价体系 </w:t>
      </w:r>
    </w:p>
    <w:p w14:paraId="0AE317ED">
      <w:pPr>
        <w:framePr w:wrap="auto" w:vAnchor="margin" w:hAnchor="text" w:yAlign="inline"/>
        <w:spacing w:line="360" w:lineRule="auto"/>
        <w:ind w:firstLine="480" w:firstLineChars="200"/>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解决以往校企育人评价主观性强、定性多、定量少、难以考核的问题，实现育人质量可量化、可比对、可追溯，为院校绩效考核、企业合作评级、项目质量评审提供客观依据。</w:t>
      </w:r>
    </w:p>
    <w:p w14:paraId="4F81E691">
      <w:pPr>
        <w:framePr w:wrap="auto" w:vAnchor="margin" w:hAnchor="text" w:yAlign="inline"/>
        <w:spacing w:line="360" w:lineRule="auto"/>
        <w:ind w:firstLine="477" w:firstLineChars="198"/>
        <w:rPr>
          <w:rFonts w:hint="eastAsia" w:ascii="宋体" w:hAnsi="宋体" w:eastAsia="宋体" w:cs="宋体"/>
          <w:b/>
          <w:bCs/>
          <w:color w:val="000000"/>
          <w:sz w:val="24"/>
          <w:szCs w:val="24"/>
          <w:lang w:val="zh-TW" w:eastAsia="zh-TW"/>
        </w:rPr>
      </w:pPr>
      <w:r>
        <w:rPr>
          <w:rFonts w:hint="eastAsia" w:ascii="宋体" w:hAnsi="宋体" w:eastAsia="宋体" w:cs="宋体"/>
          <w:b/>
          <w:bCs/>
          <w:color w:val="000000"/>
          <w:sz w:val="24"/>
          <w:szCs w:val="24"/>
          <w:lang w:val="zh-TW" w:eastAsia="zh-CN"/>
        </w:rPr>
        <w:t>（</w:t>
      </w:r>
      <w:r>
        <w:rPr>
          <w:rFonts w:hint="eastAsia" w:ascii="宋体" w:hAnsi="宋体" w:eastAsia="宋体" w:cs="宋体"/>
          <w:b/>
          <w:bCs/>
          <w:color w:val="000000"/>
          <w:sz w:val="24"/>
          <w:szCs w:val="24"/>
          <w:lang w:val="en-US" w:eastAsia="zh-CN"/>
        </w:rPr>
        <w:t>六）</w:t>
      </w:r>
      <w:r>
        <w:rPr>
          <w:rFonts w:hint="eastAsia" w:ascii="宋体" w:hAnsi="宋体" w:eastAsia="宋体" w:cs="宋体"/>
          <w:b/>
          <w:bCs/>
          <w:color w:val="000000"/>
          <w:sz w:val="24"/>
          <w:szCs w:val="24"/>
          <w:lang w:val="zh-TW" w:eastAsia="zh-TW"/>
        </w:rPr>
        <w:t xml:space="preserve">推动产教融合高质量、可持续发展 </w:t>
      </w:r>
    </w:p>
    <w:p w14:paraId="70AE9226">
      <w:pPr>
        <w:framePr w:wrap="auto" w:vAnchor="margin" w:hAnchor="text" w:yAlign="inline"/>
        <w:spacing w:line="360" w:lineRule="auto"/>
        <w:ind w:firstLine="480" w:firstLineChars="200"/>
        <w:rPr>
          <w:rFonts w:hint="default" w:ascii="宋体" w:hAnsi="宋体" w:eastAsia="宋体" w:cs="宋体"/>
          <w:color w:val="auto"/>
          <w:sz w:val="24"/>
          <w:szCs w:val="24"/>
          <w:lang w:val="zh-TW"/>
        </w:rPr>
      </w:pPr>
      <w:r>
        <w:rPr>
          <w:rFonts w:hint="eastAsia" w:ascii="宋体" w:hAnsi="宋体" w:eastAsia="宋体" w:cs="宋体"/>
          <w:color w:val="auto"/>
          <w:sz w:val="24"/>
          <w:szCs w:val="24"/>
          <w:lang w:val="zh-TW"/>
        </w:rPr>
        <w:t>通过标准引领行业规范建设，培育优质校企协同育人模式，形成“以标准促规范、以评价促改进、以质量促提升”的良性生态，助力职业教育提质培优、产教深度融合与校企合作长效稳定发展。</w:t>
      </w:r>
    </w:p>
    <w:sectPr>
      <w:headerReference r:id="rId3" w:type="default"/>
      <w:footerReference r:id="rId4" w:type="default"/>
      <w:pgSz w:w="11900" w:h="16840"/>
      <w:pgMar w:top="1440" w:right="1800" w:bottom="1440" w:left="1800" w:header="851" w:footer="992"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Arial"/>
    <w:panose1 w:val="00000000000000000000"/>
    <w:charset w:val="00"/>
    <w:family w:val="roma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830BF">
    <w:pPr>
      <w:pStyle w:val="3"/>
      <w:framePr w:wrap="auto" w:vAnchor="margin" w:hAnchor="text" w:yAlign="inline"/>
      <w:tabs>
        <w:tab w:val="right" w:pos="8280"/>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24C84">
    <w:pPr>
      <w:pStyle w:val="12"/>
      <w:framePr w:wrap="auto" w:vAnchor="margin" w:hAnchor="text" w:yAlign="inline"/>
    </w:pPr>
    <w:r>
      <mc:AlternateContent>
        <mc:Choice Requires="wps">
          <w:drawing>
            <wp:anchor distT="152400" distB="152400" distL="152400" distR="152400" simplePos="0" relativeHeight="251659264" behindDoc="1" locked="0" layoutInCell="1" allowOverlap="1">
              <wp:simplePos x="0" y="0"/>
              <wp:positionH relativeFrom="page">
                <wp:posOffset>3750945</wp:posOffset>
              </wp:positionH>
              <wp:positionV relativeFrom="page">
                <wp:posOffset>9833610</wp:posOffset>
              </wp:positionV>
              <wp:extent cx="57785" cy="131445"/>
              <wp:effectExtent l="0" t="0" r="0" b="0"/>
              <wp:wrapNone/>
              <wp:docPr id="1073741825" name="officeArt object" descr="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2700" cap="flat">
                        <a:noFill/>
                        <a:miter lim="400000"/>
                      </a:ln>
                      <a:effectLst/>
                    </wps:spPr>
                    <wps:txbx>
                      <w:txbxContent>
                        <w:p w14:paraId="75E76908">
                          <w:pPr>
                            <w:pStyle w:val="3"/>
                          </w:pPr>
                          <w:r>
                            <w:fldChar w:fldCharType="begin"/>
                          </w:r>
                          <w:r>
                            <w:instrText xml:space="preserve"> PAGE </w:instrText>
                          </w:r>
                          <w:r>
                            <w:fldChar w:fldCharType="separate"/>
                          </w:r>
                          <w:r>
                            <w:t>3</w:t>
                          </w:r>
                          <w:r>
                            <w:fldChar w:fldCharType="end"/>
                          </w:r>
                        </w:p>
                      </w:txbxContent>
                    </wps:txbx>
                    <wps:bodyPr wrap="square" lIns="0" tIns="0" rIns="0" bIns="0" numCol="1" anchor="t">
                      <a:noAutofit/>
                    </wps:bodyPr>
                  </wps:wsp>
                </a:graphicData>
              </a:graphic>
            </wp:anchor>
          </w:drawing>
        </mc:Choice>
        <mc:Fallback>
          <w:pict>
            <v:shape id="officeArt object" o:spid="_x0000_s1026" o:spt="202" alt="文本框 1" type="#_x0000_t202" style="position:absolute;left:0pt;margin-left:295.35pt;margin-top:774.3pt;height:10.35pt;width:4.55pt;mso-position-horizontal-relative:page;mso-position-vertical-relative:page;z-index:-251657216;mso-width-relative:page;mso-height-relative:page;" filled="f" stroked="f" coordsize="21600,21600" o:gfxdata="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JU1QY2gAAAA0BAAAPAAAAAAAAAAEAIAAA&#10;ACIAAABkcnMvZG93bnJldi54bWxQSwECFAAUAAAACACHTuJA98QOIAoCAAD+AwAADgAAAAAAAAAB&#10;ACAAAAApAQAAZHJzL2Uyb0RvYy54bWxQSwUGAAAAAAYABgBZAQAApQUAAAAA&#10;">
              <v:fill on="f" focussize="0,0"/>
              <v:stroke on="f" weight="1pt" miterlimit="4" joinstyle="miter"/>
              <v:imagedata o:title=""/>
              <o:lock v:ext="edit" aspectratio="f"/>
              <v:textbox inset="0mm,0mm,0mm,0mm">
                <w:txbxContent>
                  <w:p w14:paraId="75E76908">
                    <w:pPr>
                      <w:pStyle w:val="3"/>
                    </w:pPr>
                    <w:r>
                      <w:fldChar w:fldCharType="begin"/>
                    </w:r>
                    <w:r>
                      <w:instrText xml:space="preserve"> PAGE </w:instrText>
                    </w:r>
                    <w:r>
                      <w:fldChar w:fldCharType="separate"/>
                    </w:r>
                    <w:r>
                      <w:t>3</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097FA8"/>
    <w:multiLevelType w:val="singleLevel"/>
    <w:tmpl w:val="17097FA8"/>
    <w:lvl w:ilvl="0" w:tentative="0">
      <w:start w:val="8"/>
      <w:numFmt w:val="chineseCounting"/>
      <w:suff w:val="nothing"/>
      <w:lvlText w:val="%1、"/>
      <w:lvlJc w:val="left"/>
      <w:rPr>
        <w:rFonts w:hint="eastAsia"/>
      </w:rPr>
    </w:lvl>
  </w:abstractNum>
  <w:abstractNum w:abstractNumId="1">
    <w:nsid w:val="1FC91163"/>
    <w:multiLevelType w:val="multilevel"/>
    <w:tmpl w:val="1FC91163"/>
    <w:lvl w:ilvl="0" w:tentative="0">
      <w:start w:val="1"/>
      <w:numFmt w:val="decimal"/>
      <w:pStyle w:val="9"/>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425" w:firstLine="0"/>
      </w:pPr>
      <w:rPr>
        <w:rFonts w:hint="eastAsia" w:ascii="黑体" w:hAnsi="Times New Roman" w:eastAsia="黑体" w:cs="Times New Roman"/>
        <w:b w:val="0"/>
        <w:bCs w:val="0"/>
        <w:i w:val="0"/>
        <w:iCs w:val="0"/>
        <w:caps w:val="0"/>
        <w:strike w:val="0"/>
        <w:dstrike w:val="0"/>
        <w:vanish w:val="0"/>
        <w:color w:val="800000"/>
        <w:spacing w:val="0"/>
        <w:kern w:val="0"/>
        <w:position w:val="0"/>
        <w:sz w:val="21"/>
        <w:szCs w:val="21"/>
        <w:u w:val="none"/>
        <w:vertAlign w:val="baseline"/>
      </w:rPr>
    </w:lvl>
    <w:lvl w:ilvl="2" w:tentative="0">
      <w:start w:val="1"/>
      <w:numFmt w:val="decimal"/>
      <w:suff w:val="nothing"/>
      <w:lvlText w:val="%1.%2.%3　"/>
      <w:lvlJc w:val="left"/>
      <w:pPr>
        <w:ind w:left="2268"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37C542B2"/>
    <w:multiLevelType w:val="multilevel"/>
    <w:tmpl w:val="37C542B2"/>
    <w:lvl w:ilvl="0" w:tentative="0">
      <w:start w:val="1"/>
      <w:numFmt w:val="japaneseCounting"/>
      <w:lvlText w:val="%1、"/>
      <w:lvlJc w:val="left"/>
      <w:pPr>
        <w:ind w:left="992" w:hanging="510"/>
      </w:pPr>
      <w:rPr>
        <w:rFonts w:hint="default" w:eastAsia="宋体"/>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
  <w:docVars>
    <w:docVar w:name="commondata" w:val="eyJoZGlkIjoiZmFhOTEwOTA4M2RhMmU1NGE4Zjg4ZmY1NTkwZWFmMjUifQ=="/>
  </w:docVars>
  <w:rsids>
    <w:rsidRoot w:val="001C1971"/>
    <w:rsid w:val="0000007A"/>
    <w:rsid w:val="00001B5B"/>
    <w:rsid w:val="00010B53"/>
    <w:rsid w:val="000117FA"/>
    <w:rsid w:val="00015ECA"/>
    <w:rsid w:val="00021F88"/>
    <w:rsid w:val="00023AB0"/>
    <w:rsid w:val="00035B6D"/>
    <w:rsid w:val="00037A2E"/>
    <w:rsid w:val="00050AEC"/>
    <w:rsid w:val="00082FF1"/>
    <w:rsid w:val="00084859"/>
    <w:rsid w:val="000905AB"/>
    <w:rsid w:val="00094129"/>
    <w:rsid w:val="000B3167"/>
    <w:rsid w:val="000C006E"/>
    <w:rsid w:val="000F45D3"/>
    <w:rsid w:val="000F71FA"/>
    <w:rsid w:val="00102875"/>
    <w:rsid w:val="00136DC2"/>
    <w:rsid w:val="001445DA"/>
    <w:rsid w:val="001C1971"/>
    <w:rsid w:val="00204F84"/>
    <w:rsid w:val="00215DD7"/>
    <w:rsid w:val="002512F2"/>
    <w:rsid w:val="00264B72"/>
    <w:rsid w:val="002663D9"/>
    <w:rsid w:val="002665EC"/>
    <w:rsid w:val="0028709D"/>
    <w:rsid w:val="00295751"/>
    <w:rsid w:val="002B4CE6"/>
    <w:rsid w:val="002D4343"/>
    <w:rsid w:val="002F0B8B"/>
    <w:rsid w:val="002F3AA6"/>
    <w:rsid w:val="002F3F3E"/>
    <w:rsid w:val="0030564F"/>
    <w:rsid w:val="0031319C"/>
    <w:rsid w:val="0035380E"/>
    <w:rsid w:val="00377697"/>
    <w:rsid w:val="00391E44"/>
    <w:rsid w:val="00392AF6"/>
    <w:rsid w:val="0039677A"/>
    <w:rsid w:val="003A0FD7"/>
    <w:rsid w:val="003B30F9"/>
    <w:rsid w:val="003C6F12"/>
    <w:rsid w:val="003D652D"/>
    <w:rsid w:val="004005B0"/>
    <w:rsid w:val="004240F0"/>
    <w:rsid w:val="00435909"/>
    <w:rsid w:val="00453F8D"/>
    <w:rsid w:val="004B46F1"/>
    <w:rsid w:val="004B56C3"/>
    <w:rsid w:val="004D05EE"/>
    <w:rsid w:val="004D285A"/>
    <w:rsid w:val="00525B9B"/>
    <w:rsid w:val="00546C9F"/>
    <w:rsid w:val="00550AA3"/>
    <w:rsid w:val="00555768"/>
    <w:rsid w:val="0059365C"/>
    <w:rsid w:val="005A6EF5"/>
    <w:rsid w:val="005B13B2"/>
    <w:rsid w:val="005F7B08"/>
    <w:rsid w:val="00605F70"/>
    <w:rsid w:val="006123BD"/>
    <w:rsid w:val="00647AAD"/>
    <w:rsid w:val="00666AC0"/>
    <w:rsid w:val="00695C8A"/>
    <w:rsid w:val="006A4054"/>
    <w:rsid w:val="006A5904"/>
    <w:rsid w:val="006D28E6"/>
    <w:rsid w:val="006E4EB5"/>
    <w:rsid w:val="006E7F2E"/>
    <w:rsid w:val="00713B38"/>
    <w:rsid w:val="00716D2A"/>
    <w:rsid w:val="00720891"/>
    <w:rsid w:val="00753EC9"/>
    <w:rsid w:val="00791143"/>
    <w:rsid w:val="007A6EC1"/>
    <w:rsid w:val="007C78B9"/>
    <w:rsid w:val="007D7840"/>
    <w:rsid w:val="007F7367"/>
    <w:rsid w:val="00844A75"/>
    <w:rsid w:val="00852083"/>
    <w:rsid w:val="00872310"/>
    <w:rsid w:val="008A1E38"/>
    <w:rsid w:val="008D1A07"/>
    <w:rsid w:val="008E73B2"/>
    <w:rsid w:val="00903D18"/>
    <w:rsid w:val="009078BB"/>
    <w:rsid w:val="0092426D"/>
    <w:rsid w:val="0092709E"/>
    <w:rsid w:val="00951C47"/>
    <w:rsid w:val="009618BF"/>
    <w:rsid w:val="0096218D"/>
    <w:rsid w:val="00964B16"/>
    <w:rsid w:val="009936AB"/>
    <w:rsid w:val="009A2906"/>
    <w:rsid w:val="009A514C"/>
    <w:rsid w:val="009B4725"/>
    <w:rsid w:val="009C08DA"/>
    <w:rsid w:val="009C333D"/>
    <w:rsid w:val="009D2E05"/>
    <w:rsid w:val="009F19C0"/>
    <w:rsid w:val="00A14861"/>
    <w:rsid w:val="00A22E73"/>
    <w:rsid w:val="00A329F7"/>
    <w:rsid w:val="00A369F1"/>
    <w:rsid w:val="00A56255"/>
    <w:rsid w:val="00A7221A"/>
    <w:rsid w:val="00A72D65"/>
    <w:rsid w:val="00A76DB0"/>
    <w:rsid w:val="00AE5E92"/>
    <w:rsid w:val="00B0520A"/>
    <w:rsid w:val="00B154D0"/>
    <w:rsid w:val="00B33BF1"/>
    <w:rsid w:val="00B3497B"/>
    <w:rsid w:val="00B45AE7"/>
    <w:rsid w:val="00B5017B"/>
    <w:rsid w:val="00C01246"/>
    <w:rsid w:val="00C149D5"/>
    <w:rsid w:val="00C223EE"/>
    <w:rsid w:val="00C50B12"/>
    <w:rsid w:val="00C731C6"/>
    <w:rsid w:val="00C870A4"/>
    <w:rsid w:val="00C923B3"/>
    <w:rsid w:val="00CD3464"/>
    <w:rsid w:val="00CE51C9"/>
    <w:rsid w:val="00D20D5B"/>
    <w:rsid w:val="00D418D7"/>
    <w:rsid w:val="00D42091"/>
    <w:rsid w:val="00D42375"/>
    <w:rsid w:val="00D92B72"/>
    <w:rsid w:val="00D92D8A"/>
    <w:rsid w:val="00D9431E"/>
    <w:rsid w:val="00DA1793"/>
    <w:rsid w:val="00DB3344"/>
    <w:rsid w:val="00DC0655"/>
    <w:rsid w:val="00DD1545"/>
    <w:rsid w:val="00DF5A59"/>
    <w:rsid w:val="00E045F4"/>
    <w:rsid w:val="00E20101"/>
    <w:rsid w:val="00E21072"/>
    <w:rsid w:val="00E223F5"/>
    <w:rsid w:val="00E42EA4"/>
    <w:rsid w:val="00E476F5"/>
    <w:rsid w:val="00E66352"/>
    <w:rsid w:val="00E86919"/>
    <w:rsid w:val="00E95A59"/>
    <w:rsid w:val="00EA0E6F"/>
    <w:rsid w:val="00EA45A0"/>
    <w:rsid w:val="00EB7D2E"/>
    <w:rsid w:val="00ED4542"/>
    <w:rsid w:val="00ED6663"/>
    <w:rsid w:val="00EE0D56"/>
    <w:rsid w:val="00EE2BFC"/>
    <w:rsid w:val="00EF578C"/>
    <w:rsid w:val="00F06039"/>
    <w:rsid w:val="00F10349"/>
    <w:rsid w:val="00F379DE"/>
    <w:rsid w:val="00F4411B"/>
    <w:rsid w:val="00F52EE6"/>
    <w:rsid w:val="00F60ACD"/>
    <w:rsid w:val="00F66F31"/>
    <w:rsid w:val="00F707BF"/>
    <w:rsid w:val="00F770A2"/>
    <w:rsid w:val="00F91175"/>
    <w:rsid w:val="00F92653"/>
    <w:rsid w:val="00FB455B"/>
    <w:rsid w:val="02D54418"/>
    <w:rsid w:val="031F08DF"/>
    <w:rsid w:val="04751AFF"/>
    <w:rsid w:val="062D0592"/>
    <w:rsid w:val="06476735"/>
    <w:rsid w:val="064918B1"/>
    <w:rsid w:val="06907B34"/>
    <w:rsid w:val="079F4C11"/>
    <w:rsid w:val="07BE62CF"/>
    <w:rsid w:val="07E9355D"/>
    <w:rsid w:val="08D5567E"/>
    <w:rsid w:val="09FD66D9"/>
    <w:rsid w:val="0B1374D8"/>
    <w:rsid w:val="0B6017F9"/>
    <w:rsid w:val="0C6B2020"/>
    <w:rsid w:val="0CEF76F2"/>
    <w:rsid w:val="0D044068"/>
    <w:rsid w:val="0D1065DE"/>
    <w:rsid w:val="0EC307D7"/>
    <w:rsid w:val="14087218"/>
    <w:rsid w:val="16660FCB"/>
    <w:rsid w:val="186E33F9"/>
    <w:rsid w:val="1B99253B"/>
    <w:rsid w:val="1C3E30E2"/>
    <w:rsid w:val="1C7114D7"/>
    <w:rsid w:val="1C7E775D"/>
    <w:rsid w:val="1E8D27EC"/>
    <w:rsid w:val="1F5F584A"/>
    <w:rsid w:val="1F907948"/>
    <w:rsid w:val="24AC5E86"/>
    <w:rsid w:val="25215D4A"/>
    <w:rsid w:val="27171FA1"/>
    <w:rsid w:val="27286E69"/>
    <w:rsid w:val="27960276"/>
    <w:rsid w:val="289852A8"/>
    <w:rsid w:val="29295A17"/>
    <w:rsid w:val="29603CC7"/>
    <w:rsid w:val="2A1B43AD"/>
    <w:rsid w:val="2B084CC9"/>
    <w:rsid w:val="2B764647"/>
    <w:rsid w:val="2CA93F28"/>
    <w:rsid w:val="2DD66AA1"/>
    <w:rsid w:val="30C443CF"/>
    <w:rsid w:val="30C4467E"/>
    <w:rsid w:val="31F76239"/>
    <w:rsid w:val="32756474"/>
    <w:rsid w:val="34727975"/>
    <w:rsid w:val="357A6B39"/>
    <w:rsid w:val="3C6127A9"/>
    <w:rsid w:val="3D9905CE"/>
    <w:rsid w:val="3D9910E3"/>
    <w:rsid w:val="3DC85526"/>
    <w:rsid w:val="3E1116E4"/>
    <w:rsid w:val="3F80563C"/>
    <w:rsid w:val="40161AFD"/>
    <w:rsid w:val="449C1111"/>
    <w:rsid w:val="4682106D"/>
    <w:rsid w:val="47F1524C"/>
    <w:rsid w:val="48580610"/>
    <w:rsid w:val="488A4EC3"/>
    <w:rsid w:val="4907292A"/>
    <w:rsid w:val="49197EDF"/>
    <w:rsid w:val="49B57FC4"/>
    <w:rsid w:val="4B49791C"/>
    <w:rsid w:val="4BE34F89"/>
    <w:rsid w:val="4C1B2975"/>
    <w:rsid w:val="4C5F21E2"/>
    <w:rsid w:val="4C730CCE"/>
    <w:rsid w:val="4EAB0005"/>
    <w:rsid w:val="4F8F14D6"/>
    <w:rsid w:val="51617493"/>
    <w:rsid w:val="517661FC"/>
    <w:rsid w:val="52C30DCD"/>
    <w:rsid w:val="536C2A87"/>
    <w:rsid w:val="5452177E"/>
    <w:rsid w:val="556E3DBC"/>
    <w:rsid w:val="55952063"/>
    <w:rsid w:val="56F855E6"/>
    <w:rsid w:val="5DC02686"/>
    <w:rsid w:val="67043DBA"/>
    <w:rsid w:val="67A755AC"/>
    <w:rsid w:val="68E92303"/>
    <w:rsid w:val="6ACB730B"/>
    <w:rsid w:val="6BA43AA1"/>
    <w:rsid w:val="6BE4292B"/>
    <w:rsid w:val="6BF6265F"/>
    <w:rsid w:val="6D2C7F37"/>
    <w:rsid w:val="704B7B6C"/>
    <w:rsid w:val="73BB6316"/>
    <w:rsid w:val="76876CD5"/>
    <w:rsid w:val="77321BC3"/>
    <w:rsid w:val="77C33718"/>
    <w:rsid w:val="791974F6"/>
    <w:rsid w:val="7D717D97"/>
    <w:rsid w:val="7DDB6D31"/>
    <w:rsid w:val="7E454C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uiPriority w:val="0"/>
    <w:pPr>
      <w:jc w:val="left"/>
    </w:pPr>
  </w:style>
  <w:style w:type="paragraph" w:styleId="3">
    <w:name w:val="footer"/>
    <w:qFormat/>
    <w:uiPriority w:val="0"/>
    <w:pPr>
      <w:framePr w:wrap="around" w:vAnchor="margin" w:hAnchor="text" w:y="1"/>
      <w:widowControl w:val="0"/>
      <w:tabs>
        <w:tab w:val="center" w:pos="4153"/>
        <w:tab w:val="right" w:pos="8306"/>
      </w:tabs>
    </w:pPr>
    <w:rPr>
      <w:rFonts w:ascii="Times New Roman" w:hAnsi="Times New Roman" w:eastAsia="Arial Unicode MS" w:cs="Arial Unicode MS"/>
      <w:color w:val="000000"/>
      <w:kern w:val="2"/>
      <w:sz w:val="18"/>
      <w:szCs w:val="18"/>
      <w:u w:color="000000"/>
      <w:lang w:val="en-US" w:eastAsia="zh-CN" w:bidi="ar-SA"/>
    </w:rPr>
  </w:style>
  <w:style w:type="paragraph" w:styleId="4">
    <w:name w:val="header"/>
    <w:basedOn w:val="1"/>
    <w:link w:val="14"/>
    <w:qFormat/>
    <w:uiPriority w:val="0"/>
    <w:pPr>
      <w:framePr w:wrap="around"/>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framePr w:wrap="around"/>
    </w:pPr>
    <w:rPr>
      <w:sz w:val="24"/>
    </w:rPr>
  </w:style>
  <w:style w:type="character" w:styleId="8">
    <w:name w:val="Hyperlink"/>
    <w:qFormat/>
    <w:uiPriority w:val="0"/>
    <w:rPr>
      <w:u w:val="single"/>
    </w:rPr>
  </w:style>
  <w:style w:type="paragraph" w:customStyle="1" w:styleId="9">
    <w:name w:val="章标题"/>
    <w:next w:val="10"/>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0">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table" w:customStyle="1" w:styleId="11">
    <w:name w:val="Table Normal"/>
    <w:qFormat/>
    <w:uiPriority w:val="0"/>
    <w:tblPr>
      <w:tblCellMar>
        <w:top w:w="0" w:type="dxa"/>
        <w:left w:w="0" w:type="dxa"/>
        <w:bottom w:w="0" w:type="dxa"/>
        <w:right w:w="0" w:type="dxa"/>
      </w:tblCellMar>
    </w:tblPr>
  </w:style>
  <w:style w:type="paragraph" w:customStyle="1" w:styleId="12">
    <w:name w:val="页眉与页脚"/>
    <w:qFormat/>
    <w:uiPriority w:val="0"/>
    <w:pPr>
      <w:framePr w:wrap="around" w:vAnchor="margin" w:hAnchor="text" w:y="1"/>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13">
    <w:name w:val="列出段落1"/>
    <w:qFormat/>
    <w:uiPriority w:val="0"/>
    <w:pPr>
      <w:framePr w:wrap="around" w:vAnchor="margin" w:hAnchor="text" w:y="1"/>
      <w:widowControl w:val="0"/>
      <w:ind w:firstLine="42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14">
    <w:name w:val="页眉 字符"/>
    <w:basedOn w:val="7"/>
    <w:link w:val="4"/>
    <w:qFormat/>
    <w:uiPriority w:val="0"/>
    <w:rPr>
      <w:rFonts w:ascii="Arial Unicode MS" w:hAnsi="Arial Unicode MS" w:eastAsia="Times New Roman" w:cs="Arial Unicode MS"/>
      <w:color w:val="000000"/>
      <w:kern w:val="2"/>
      <w:sz w:val="18"/>
      <w:szCs w:val="18"/>
      <w:u w:color="000000"/>
    </w:rPr>
  </w:style>
  <w:style w:type="paragraph" w:customStyle="1" w:styleId="15">
    <w:name w:val="列表段落1"/>
    <w:basedOn w:val="1"/>
    <w:qFormat/>
    <w:uiPriority w:val="99"/>
    <w:pPr>
      <w:framePr w:wrap="around"/>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6a0306f9-f94e-432e-bc6e-7f50049a0a45</errorID>
      <errorWord>积极响应了</errorWord>
      <group>L1_AI</group>
      <groupName>深度校对</groupName>
      <ability>L2_AI_Word</ability>
      <abilityName>字词纠错</abilityName>
      <candidateList>
        <item>积极响应</item>
      </candidateList>
      <explain/>
      <paraID>5D3BCEF5</paraID>
      <start>3</start>
      <end>8</end>
      <status>ignored</status>
      <modifiedWord/>
      <trackRevisions>false</trackRevisions>
    </reviewItem>
    <reviewItem>
      <errorID>b12c199a-aa4b-46ac-8d87-e3b80e418c24</errorID>
      <errorWord>》</errorWord>
      <group>L1_Word</group>
      <groupName>字词问题</groupName>
      <ability>L2_Typo</ability>
      <abilityName>字词错误</abilityName>
      <candidateList>
        <item>》和</item>
      </candidateList>
      <explain/>
      <paraID>5D3BCEF5</paraID>
      <start>63</start>
      <end>65</end>
      <status>modified</status>
      <modifiedWord>》和</modifiedWord>
      <trackRevisions>false</trackRevisions>
    </reviewItem>
    <reviewItem>
      <errorID>042bb856-9482-46ba-852c-bd2ee2fbb06c</errorID>
      <errorWord>）</errorWord>
      <group>L1_AI</group>
      <groupName>深度校对</groupName>
      <ability>L2_AI_Punc</ability>
      <abilityName>标点纠错</abilityName>
      <candidateList>
        <item>）：</item>
      </candidateList>
      <explain/>
      <paraID>7265AF7E</paraID>
      <start>52</start>
      <end>53</end>
      <status>ignored</status>
      <modifiedWord/>
      <trackRevisions>false</trackRevisions>
    </reviewItem>
    <reviewItem>
      <errorID>9b56b8a3-5fb9-4830-9982-79deb341cbd2</errorID>
      <errorWord>法律、法规</errorWord>
      <group>L1_Word</group>
      <groupName>字词问题</groupName>
      <ability>L2_Typo</ability>
      <abilityName>字词错误</abilityName>
      <candidateList>
        <item>法律法规</item>
      </candidateList>
      <explain/>
      <paraID>3384D0D5</paraID>
      <start>8</start>
      <end>12</end>
      <status>modified</status>
      <modifiedWord>法律法规</modifiedWord>
      <trackRevisions>false</trackRevisions>
    </reviewItem>
    <reviewItem>
      <errorID>dacc65bd-c315-44bf-964c-6be4c2d6601b</errorID>
      <errorWord>高校</errorWord>
      <group>L1_AI</group>
      <groupName>深度校对</groupName>
      <ability>L2_AI_Word</ability>
      <abilityName>字词纠错</abilityName>
      <candidateList>
        <item>学校</item>
      </candidateList>
      <explain/>
      <paraID>41CECA98</paraID>
      <start>54</start>
      <end>56</end>
      <status>ignored</status>
      <modifiedWord/>
      <trackRevisions>false</trackRevisions>
    </reviewItem>
    <reviewItem>
      <errorID>44bf5f83-75b1-485b-ac4b-3987feb7cb04</errorID>
      <errorWord>法律、法规</errorWord>
      <group>L1_Word</group>
      <groupName>字词问题</groupName>
      <ability>L2_Typo</ability>
      <abilityName>字词错误</abilityName>
      <candidateList>
        <item>法律法规</item>
      </candidateList>
      <explain/>
      <paraID>41CECA98</paraID>
      <start>97</start>
      <end>101</end>
      <status>modified</status>
      <modifiedWord>法律法规</modifiedWord>
      <trackRevisions>false</trackRevisions>
    </reviewItem>
    <reviewItem>
      <errorID>378810b6-6b16-4086-8f83-30397d45f06c</errorID>
      <errorWord>，</errorWord>
      <group>L1_AI</group>
      <groupName>深度校对</groupName>
      <ability>L2_AI_Punc</ability>
      <abilityName>标点纠错</abilityName>
      <candidateList>
        <item>。</item>
      </candidateList>
      <explain/>
      <paraID>39607DAE</paraID>
      <start>116</start>
      <end>117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a81bbe-cbe0-4180-982f-3baca6921d9b}">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8</Pages>
  <Words>5332</Words>
  <Characters>5414</Characters>
  <Lines>1</Lines>
  <Paragraphs>1</Paragraphs>
  <TotalTime>181</TotalTime>
  <ScaleCrop>false</ScaleCrop>
  <LinksUpToDate>false</LinksUpToDate>
  <CharactersWithSpaces>5439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2019-03-19T02:01:00Z</dcterms:created>
  <dc:creator>HP</dc:creator>
  <cp:lastModifiedBy>T</cp:lastModifiedBy>
  <cp:lastPrinted>2019-06-17T03:57:00Z</cp:lastPrinted>
  <dcterms:modified xsi:type="dcterms:W3CDTF">2026-07-27T06:32:27Z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B891FB1B7E18400BAED1BD79538587A2_13</vt:lpwstr>
  </property>
  <property fmtid="{D5CDD505-2E9C-101B-9397-08002B2CF9AE}" pid="4" name="KSOTemplateDocerSaveRecord">
    <vt:lpwstr>eyJoZGlkIjoiODNjN2Y4NjJlOWQ5ZGI4NDc1MzhmOTI3YWMzZjk0NzYiLCJ1c2VySWQiOiIyNDM5ODk1OTcifQ==</vt:lpwstr>
  </property>
</Properties>
</file>