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4459" w14:textId="77777777" w:rsidR="007E1762" w:rsidRDefault="00000000">
      <w:pPr>
        <w:spacing w:before="300" w:after="120" w:line="360" w:lineRule="auto"/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  <w:t>《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商务楼宇可持续发展运营规范</w:t>
      </w:r>
      <w:r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  <w:t>》团体标准编制说明</w:t>
      </w:r>
    </w:p>
    <w:p w14:paraId="63592366" w14:textId="77777777" w:rsidR="007E1762" w:rsidRDefault="00000000">
      <w:pPr>
        <w:spacing w:before="160" w:after="80" w:line="360" w:lineRule="auto"/>
        <w:ind w:firstLine="560"/>
        <w:rPr>
          <w:rFonts w:hint="eastAsia"/>
        </w:rPr>
      </w:pPr>
      <w:r>
        <w:rPr>
          <w:b/>
          <w:bCs/>
        </w:rPr>
        <w:t>一、标准项目来源</w:t>
      </w:r>
    </w:p>
    <w:p w14:paraId="200D93E8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党的二十大明确提出，推动绿色发展、促进人与自然和谐共生，加快发展方式绿色转型，实施全面节约战略，发展绿色低碳产业。国家先后发布《关于加快建立健全绿色低碳循环发展经济体系的指导意见》《“十四五”节能减排综合工作方案》《2030年前碳达峰行动方案》等文件，要求推动建筑领域节能降碳，大力发展绿色建筑和超低能耗建筑，推进既有建筑绿色化改造，提升建筑运营管理水平。</w:t>
      </w:r>
    </w:p>
    <w:p w14:paraId="13A582BA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商务楼宇是城市经济活动的重要载体，是现代服务业集聚的核心空间，也是建筑领域能源消耗与碳排放的重点单元。随着我国城镇化进入高质量发展阶段，商务楼宇数量持续增长、规模不断扩大，楼宇经济已成为城市经济增长的重要引擎。与此同时，在“双碳”目标引领下，社会各界对商务楼宇绿色低碳、健康安全、高效运营、社会责任等方面的要求日益提高，传统“重建设、轻运营、重硬件、轻管理”的模式已难以适应新时代发展要求。</w:t>
      </w:r>
    </w:p>
    <w:p w14:paraId="385A3EE1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基于此，杭州市上城区投资促进局提出《商务楼宇可持续发展运营规范》团体标准，中国国际贸易促进委员会商业行业委员会于2026年6月发布《关于下达2026年第四批团体标准项目计划的通知》，批准该标准立项，计划编号：</w:t>
      </w:r>
      <w:r>
        <w:t>CCPIT-CSC-JH2026341</w:t>
      </w:r>
      <w:r>
        <w:rPr>
          <w:rFonts w:hint="eastAsia"/>
        </w:rPr>
        <w:t>。</w:t>
      </w:r>
    </w:p>
    <w:p w14:paraId="287267B3" w14:textId="77777777" w:rsidR="007E1762" w:rsidRDefault="00000000">
      <w:pPr>
        <w:spacing w:before="160" w:after="80" w:line="360" w:lineRule="auto"/>
        <w:ind w:firstLine="560"/>
        <w:rPr>
          <w:rFonts w:hint="eastAsia"/>
        </w:rPr>
      </w:pPr>
      <w:r>
        <w:rPr>
          <w:b/>
          <w:bCs/>
        </w:rPr>
        <w:t>二、标准制定的目的和意义</w:t>
      </w:r>
    </w:p>
    <w:p w14:paraId="084EBDFE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1.填补标准空白，构建国家级商务楼宇可持续发展运营标准体系。</w:t>
      </w:r>
    </w:p>
    <w:p w14:paraId="3A9D8231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通过制定本团体标准，首次在国家级层面建立覆盖环境、社会、经济三大维度、贯穿运营全周期、兼顾通用性与差异化的商务楼宇可持续发展</w:t>
      </w:r>
      <w:r>
        <w:rPr>
          <w:rFonts w:hint="eastAsia"/>
        </w:rPr>
        <w:lastRenderedPageBreak/>
        <w:t>运营规范，明确基本原则、核心指标、运营要求、评价方法、持续改进机制，补齐国内标准短板，完善建筑领域绿色低碳标准体系，为全国商务楼宇可持续发展提供统一、权威、科学、可操作的技术依据与管理指引。</w:t>
      </w:r>
    </w:p>
    <w:p w14:paraId="416521EC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2.引领行业绿色低碳转型，助力“双碳”目标实现。</w:t>
      </w:r>
    </w:p>
    <w:p w14:paraId="70259DBF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以标准为抓手，引导商务楼宇运营方强化节能降碳、提升资源利用效率、改善室内环境质量、履行社会责任、优化运营管理，推动楼宇从“高能耗、高排放、粗放式运营”向“低能耗、低碳排放、精细化运营、绿色化发展”转变，大幅降低建筑领域能源消耗与碳排放，助力全国碳达峰、碳中和目标如期实现，服务美丽中国建设大局。</w:t>
      </w:r>
    </w:p>
    <w:p w14:paraId="46873F6A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3.统一市场评价口径，推动绿色价值量化与市场认可。</w:t>
      </w:r>
    </w:p>
    <w:p w14:paraId="791EBB7F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建立全国统一的可持续发展运营评价指标体系与评价方法，实现商务楼宇可持续发展水平的可量化、可对比、可认证、可推广，为绿色建筑评价、楼宇等级评定、低碳楼宇认证、ESG 评价、绿色金融评估等提供统一标准支撑，推动绿色低碳价值转化为市场价值，提升商务楼宇资产质量、市场竞争力与投资吸引力，促进楼宇经济提质增效、高质量发展。</w:t>
      </w:r>
    </w:p>
    <w:p w14:paraId="4490B9DD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4.规范行业运营管理，提升服务品质与社会责任水平。</w:t>
      </w:r>
    </w:p>
    <w:p w14:paraId="767C0726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明确商务楼宇在安全管理、健康福祉、服务质量、社会责任、文化建设、权益保障等方面的运营要求，引导运营方以人为本、诚信经营、规范管理、优质服务、履行社会责任，改善楼宇运营环境、提升服务品质、增强入驻企业获得感与满意度、促进劳动关系和谐、推动区域经济社会协调发展，助力城市治理体系和治理能力现代化建设。</w:t>
      </w:r>
    </w:p>
    <w:p w14:paraId="101A4280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5.总结地方实践经验，形成可复制推广的中国模式。</w:t>
      </w:r>
    </w:p>
    <w:p w14:paraId="253AC4B4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充分吸收浙江、上海、广东、北京等地商务楼宇可持续发展运营的成功实践、先进经验、成熟做法，结合全国不同地区、不同类型、不同规模商务楼宇实际情况，提炼形成具有普适性、指导性、操作性的运营规范，</w:t>
      </w:r>
      <w:r>
        <w:rPr>
          <w:rFonts w:hint="eastAsia"/>
        </w:rPr>
        <w:lastRenderedPageBreak/>
        <w:t>从地方实践升级为团体标准，在全国范围内推广应用，形成可复制、可推广、可借鉴的中国商务楼宇可持续发展运营模式，为全球同类建筑运营管理提供中国方案、贡献中国智慧。</w:t>
      </w:r>
    </w:p>
    <w:p w14:paraId="1408F114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 xml:space="preserve">综上，制定《商务楼宇可持续发展运营规范》团体标准，是贯彻落实国家绿色低碳发展战略、推动建筑领域节能降碳、助力“双碳” 目标实现的迫切需要；是补齐国内标准空白、完善标准体系、统一行业运营管理与评价口径的现实需要；是引领行业绿色低碳转型、提升运营管理水平、促进楼宇经济高质量发展的内在需要；是总结地方实践经验、形成中国模式、提升行业国际话语权与影响力的战略需要，具有重大的政策意义、行业意义、市场意义和社会意义。  </w:t>
      </w:r>
    </w:p>
    <w:p w14:paraId="61879545" w14:textId="77777777" w:rsidR="007E1762" w:rsidRDefault="00000000">
      <w:pPr>
        <w:spacing w:before="60" w:after="60" w:line="360" w:lineRule="auto"/>
        <w:ind w:firstLine="560"/>
        <w:rPr>
          <w:rFonts w:hint="eastAsia"/>
          <w:highlight w:val="yellow"/>
        </w:rPr>
      </w:pPr>
      <w:r>
        <w:rPr>
          <w:b/>
          <w:bCs/>
        </w:rPr>
        <w:t>三、标准起草的过程简述</w:t>
      </w:r>
    </w:p>
    <w:p w14:paraId="65B0B34E" w14:textId="77777777" w:rsidR="007E1762" w:rsidRDefault="00000000">
      <w:pPr>
        <w:spacing w:before="80" w:after="60" w:line="360" w:lineRule="auto"/>
        <w:ind w:firstLine="560"/>
        <w:rPr>
          <w:rFonts w:hint="eastAsia"/>
        </w:rPr>
      </w:pPr>
      <w:r>
        <w:rPr>
          <w:b/>
          <w:bCs/>
        </w:rPr>
        <w:t>（一）预研阶段</w:t>
      </w:r>
      <w:r>
        <w:rPr>
          <w:rStyle w:val="af2"/>
          <w:rFonts w:hint="eastAsia"/>
          <w:sz w:val="28"/>
          <w:szCs w:val="28"/>
        </w:rPr>
        <w:t>（2025年10月—2026年5月）</w:t>
      </w:r>
    </w:p>
    <w:p w14:paraId="3067E737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2025年起，起草组面向商务楼宇运营主体、行业主管部门、第三方评价机构开展实地走访与线上调研，系统梳理国家绿色低碳、楼宇经济相关政策文件，收集国内外绿色建筑、楼宇可持续运营相关标准资料，剖析当前商务楼宇可持续运营存在的管理短板、评价口径不一、绿色转型缺乏统一指引等行业痛点，为本标准框架搭建、指标设计提供扎实实践与理论支撑。</w:t>
      </w:r>
    </w:p>
    <w:p w14:paraId="7711A639" w14:textId="77777777" w:rsidR="007E1762" w:rsidRDefault="00000000">
      <w:pPr>
        <w:spacing w:before="80" w:after="60" w:line="360" w:lineRule="auto"/>
        <w:ind w:firstLine="560"/>
        <w:rPr>
          <w:rFonts w:hint="eastAsia"/>
          <w:b/>
          <w:bCs/>
        </w:rPr>
      </w:pPr>
      <w:r>
        <w:rPr>
          <w:b/>
          <w:bCs/>
        </w:rPr>
        <w:t>（二）立项阶段</w:t>
      </w:r>
      <w:r>
        <w:rPr>
          <w:rFonts w:hint="eastAsia"/>
          <w:b/>
          <w:bCs/>
        </w:rPr>
        <w:t>（2026年6月）</w:t>
      </w:r>
    </w:p>
    <w:p w14:paraId="0881CC0A" w14:textId="77777777" w:rsidR="007E1762" w:rsidRDefault="00000000">
      <w:pPr>
        <w:spacing w:before="80" w:after="60" w:line="360" w:lineRule="auto"/>
        <w:ind w:firstLine="560"/>
        <w:rPr>
          <w:rFonts w:hint="eastAsia"/>
        </w:rPr>
      </w:pPr>
      <w:r>
        <w:rPr>
          <w:rFonts w:hint="eastAsia"/>
          <w:b/>
          <w:bCs/>
        </w:rPr>
        <w:t>1.</w:t>
      </w:r>
      <w:r>
        <w:rPr>
          <w:b/>
          <w:bCs/>
        </w:rPr>
        <w:t>立项准备：</w:t>
      </w:r>
      <w:r>
        <w:rPr>
          <w:rFonts w:hint="eastAsia"/>
        </w:rPr>
        <w:t>依据预研成果，制定标准研发详细方案，明确目标、任务与实施计划。</w:t>
      </w:r>
    </w:p>
    <w:p w14:paraId="2185A14D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  <w:b/>
          <w:bCs/>
        </w:rPr>
        <w:t>2.正式立项：</w:t>
      </w:r>
      <w:r>
        <w:t>中国国际贸易促进委员会商业行业委员会发布《关于下达2026年第四批团体标准项目计划的通知》</w:t>
      </w:r>
      <w:r>
        <w:rPr>
          <w:rFonts w:hint="eastAsia"/>
        </w:rPr>
        <w:t>，</w:t>
      </w:r>
      <w:r>
        <w:t>正式立项《</w:t>
      </w:r>
      <w:r>
        <w:rPr>
          <w:rFonts w:hint="eastAsia"/>
        </w:rPr>
        <w:t>商务楼宇可持续发展运营规范</w:t>
      </w:r>
      <w:r>
        <w:t>》团体标准，计划编号：CCPIT-CSC-JH2026341</w:t>
      </w:r>
      <w:r>
        <w:rPr>
          <w:rFonts w:hint="eastAsia"/>
        </w:rPr>
        <w:t>。</w:t>
      </w:r>
    </w:p>
    <w:p w14:paraId="39F073B3" w14:textId="77777777" w:rsidR="007E1762" w:rsidRDefault="00000000">
      <w:pPr>
        <w:spacing w:before="80" w:after="60" w:line="360" w:lineRule="auto"/>
        <w:ind w:firstLine="560"/>
        <w:rPr>
          <w:rFonts w:hint="eastAsia"/>
        </w:rPr>
      </w:pPr>
      <w:r>
        <w:rPr>
          <w:b/>
          <w:bCs/>
        </w:rPr>
        <w:lastRenderedPageBreak/>
        <w:t>（三）起草阶段</w:t>
      </w:r>
      <w:r>
        <w:rPr>
          <w:rStyle w:val="af2"/>
          <w:rFonts w:hint="eastAsia"/>
          <w:sz w:val="28"/>
          <w:szCs w:val="28"/>
        </w:rPr>
        <w:t>（2026年6月—2026年7月）</w:t>
      </w:r>
    </w:p>
    <w:p w14:paraId="433B29BB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  <w:b/>
          <w:bCs/>
        </w:rPr>
        <w:t>1.专家组组建：</w:t>
      </w:r>
      <w:r>
        <w:rPr>
          <w:rFonts w:hint="eastAsia"/>
        </w:rPr>
        <w:t>以杭州市上城区投资促进局、浙江浙商标准化服务有限公司为牵头起草单位，联合楼宇运营企业、绿色建筑研究机构、行业专家组建起草工作组</w:t>
      </w:r>
    </w:p>
    <w:p w14:paraId="51A8FB9D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  <w:b/>
          <w:bCs/>
        </w:rPr>
        <w:t>2.标准编制：</w:t>
      </w:r>
      <w:r>
        <w:rPr>
          <w:rFonts w:hint="eastAsia"/>
        </w:rPr>
        <w:t>严格遵循GB/T 1.1-2020《标准化工作导则 第1部分：标准文件的结构和起草规则》开展编制工作，依托前期调研数据、浙江多地楼宇地方标准实践成果搭建标准整体框架，完成标准初稿撰写</w:t>
      </w:r>
      <w:r>
        <w:t>善。</w:t>
      </w:r>
    </w:p>
    <w:p w14:paraId="4952DD50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  <w:b/>
          <w:bCs/>
        </w:rPr>
        <w:t>3.专家研讨：</w:t>
      </w:r>
      <w:r>
        <w:t>组织</w:t>
      </w:r>
      <w:r>
        <w:rPr>
          <w:rFonts w:hint="eastAsia"/>
        </w:rPr>
        <w:t>专家</w:t>
      </w:r>
      <w:r>
        <w:t>研讨会，</w:t>
      </w:r>
      <w:r>
        <w:rPr>
          <w:rFonts w:hint="eastAsia"/>
        </w:rPr>
        <w:t>广泛吸纳</w:t>
      </w:r>
      <w:r>
        <w:t>意见，完善草案细节。</w:t>
      </w:r>
    </w:p>
    <w:p w14:paraId="5F9E5152" w14:textId="77777777" w:rsidR="007E1762" w:rsidRDefault="00000000">
      <w:pPr>
        <w:spacing w:before="80" w:after="60" w:line="360" w:lineRule="auto"/>
        <w:ind w:firstLine="560"/>
        <w:rPr>
          <w:rFonts w:hint="eastAsia"/>
        </w:rPr>
      </w:pPr>
      <w:r>
        <w:rPr>
          <w:b/>
          <w:bCs/>
        </w:rPr>
        <w:t>（四）征求意见阶段</w:t>
      </w:r>
      <w:r>
        <w:rPr>
          <w:rFonts w:hint="eastAsia"/>
          <w:b/>
          <w:bCs/>
        </w:rPr>
        <w:t>（2026年7月-2026年8月）</w:t>
      </w:r>
    </w:p>
    <w:p w14:paraId="0ED07DE8" w14:textId="7D4B5392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  <w:b/>
          <w:bCs/>
        </w:rPr>
        <w:t>1.公开征求意见。</w:t>
      </w:r>
      <w:r>
        <w:rPr>
          <w:rFonts w:hint="eastAsia"/>
        </w:rPr>
        <w:t>2026年7月</w:t>
      </w:r>
      <w:r w:rsidR="00A919BB">
        <w:rPr>
          <w:rFonts w:hint="eastAsia"/>
        </w:rPr>
        <w:t>22</w:t>
      </w:r>
      <w:r>
        <w:rPr>
          <w:rFonts w:hint="eastAsia"/>
        </w:rPr>
        <w:t>日—202</w:t>
      </w:r>
      <w:r w:rsidR="00A919BB">
        <w:rPr>
          <w:rFonts w:hint="eastAsia"/>
        </w:rPr>
        <w:t>6</w:t>
      </w:r>
      <w:r>
        <w:rPr>
          <w:rFonts w:hint="eastAsia"/>
        </w:rPr>
        <w:t>年8月</w:t>
      </w:r>
      <w:r w:rsidR="00A919BB">
        <w:rPr>
          <w:rFonts w:hint="eastAsia"/>
        </w:rPr>
        <w:t>22</w:t>
      </w:r>
      <w:r>
        <w:rPr>
          <w:rFonts w:hint="eastAsia"/>
        </w:rPr>
        <w:t>日，通过微信公众号“贸促标准化平台”等官方网站、行业会议、邮件列表等多种渠道，向社会公众、行业企业、相关机构公开征求对标准草案的意见。</w:t>
      </w:r>
    </w:p>
    <w:p w14:paraId="0C99DFE0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  <w:b/>
          <w:bCs/>
        </w:rPr>
        <w:t>2.意见整理与分析。</w:t>
      </w:r>
      <w:r>
        <w:rPr>
          <w:rFonts w:hint="eastAsia"/>
        </w:rPr>
        <w:t>对收到的反馈进行归纳整理，分析意见的合理性和可行性，为下一步修订提供依据。</w:t>
      </w:r>
    </w:p>
    <w:p w14:paraId="4187EF0D" w14:textId="77777777" w:rsidR="007E1762" w:rsidRDefault="00000000">
      <w:pPr>
        <w:spacing w:before="160" w:after="80" w:line="360" w:lineRule="auto"/>
        <w:ind w:firstLine="560"/>
        <w:rPr>
          <w:rFonts w:hint="eastAsia"/>
        </w:rPr>
      </w:pPr>
      <w:r>
        <w:rPr>
          <w:b/>
          <w:bCs/>
        </w:rPr>
        <w:t>四、标准的主要内容和依据</w:t>
      </w:r>
    </w:p>
    <w:p w14:paraId="35B3D450" w14:textId="77777777" w:rsidR="007E1762" w:rsidRDefault="00000000">
      <w:pPr>
        <w:spacing w:before="80" w:after="60" w:line="360" w:lineRule="auto"/>
        <w:ind w:firstLine="560"/>
        <w:rPr>
          <w:rFonts w:hint="eastAsia"/>
        </w:rPr>
      </w:pPr>
      <w:r>
        <w:rPr>
          <w:b/>
          <w:bCs/>
        </w:rPr>
        <w:t>（一）制定原则</w:t>
      </w:r>
    </w:p>
    <w:p w14:paraId="577C39D9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  <w:b/>
          <w:bCs/>
        </w:rPr>
        <w:t>1.政策引领，贴合国情：</w:t>
      </w:r>
      <w:r>
        <w:rPr>
          <w:rFonts w:hint="eastAsia"/>
        </w:rPr>
        <w:t>紧扣国家双碳战略、绿色低碳循环发展、城市可持续建设相关政策要求，立足我国商务楼宇产权模式、运营管理现状与区域发展差异，兼顾地方实践经验，确保标准导向与国家发展战略高度统一。</w:t>
      </w:r>
    </w:p>
    <w:p w14:paraId="35299014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  <w:b/>
          <w:bCs/>
        </w:rPr>
        <w:t>2.系统完整，维度均衡</w:t>
      </w:r>
      <w:r>
        <w:rPr>
          <w:rFonts w:hint="eastAsia"/>
        </w:rPr>
        <w:t>：统筹环境、社会、经济三大可持续发展核心维度，覆盖楼宇全运营周期，兼顾节能降碳、服务管理、产业效益、社会责任等内容，构建逻辑闭环、层次清晰的运营管理体系。</w:t>
      </w:r>
    </w:p>
    <w:p w14:paraId="4CD53ECD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  <w:b/>
          <w:bCs/>
        </w:rPr>
        <w:t>3.实操可行，量化落地：</w:t>
      </w:r>
      <w:r>
        <w:rPr>
          <w:rFonts w:hint="eastAsia"/>
        </w:rPr>
        <w:t>指标设置兼顾科学性与实用性，区分定性要</w:t>
      </w:r>
      <w:r>
        <w:rPr>
          <w:rFonts w:hint="eastAsia"/>
        </w:rPr>
        <w:lastRenderedPageBreak/>
        <w:t>求与定量测算指标，配套明确计算方法，贴合各类商务楼宇日常运维、自评、第三方评价工作场景。</w:t>
      </w:r>
    </w:p>
    <w:p w14:paraId="410D7708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  <w:b/>
          <w:bCs/>
        </w:rPr>
        <w:t>4.协调兼容，互补衔接：</w:t>
      </w:r>
      <w:r>
        <w:rPr>
          <w:rFonts w:hint="eastAsia"/>
        </w:rPr>
        <w:t>与绿色建筑、能源管理、物业服务、商务楼宇等级评价等现行国家标准、地方标准保持协调统一，无交叉冲突，形成全生命周期标准配套体系。</w:t>
      </w:r>
    </w:p>
    <w:p w14:paraId="34AAE031" w14:textId="77777777" w:rsidR="007E1762" w:rsidRDefault="00000000">
      <w:pPr>
        <w:spacing w:before="80" w:after="60" w:line="360" w:lineRule="auto"/>
        <w:ind w:firstLine="560"/>
        <w:rPr>
          <w:rFonts w:hint="eastAsia"/>
        </w:rPr>
      </w:pPr>
      <w:r>
        <w:rPr>
          <w:b/>
          <w:bCs/>
        </w:rPr>
        <w:t>（二）主要技术内容的说明</w:t>
      </w:r>
    </w:p>
    <w:p w14:paraId="230A30FE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本标准共分为范围、规范性引用文件、术语和定义、运营要求、运营效益、评价与改进改进、附录（指标计算方法）八大部分，构建“环境——社会——经济”三位一体、“运营——评价——改进”闭环管理的商务楼宇可持续发展运营体系，共设置29项核心运营指标、11项关键计算指标，兼顾科学性、系统性、全面性、针对性、可操作性、可量化性、可对比性、可推广性。</w:t>
      </w:r>
    </w:p>
    <w:p w14:paraId="09F9FC3B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1.术语和定义</w:t>
      </w:r>
    </w:p>
    <w:p w14:paraId="3E57E506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明确商务楼宇、可持续发展、绿色运营、低碳运营、能耗管理、水资源利用、废弃物管理、绿色采购、室内环境质量、社会责任、运营效率、资产价值、产业集聚、持续改进等20 余个核心术语，统一概念内涵、外延与口径，避免歧义，为标准实施提供基础支撑。</w:t>
      </w:r>
    </w:p>
    <w:p w14:paraId="7FC87AC1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2.基本原则</w:t>
      </w:r>
    </w:p>
    <w:p w14:paraId="0E22CD6D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规定商务楼宇可持续发展运营应遵循绿色低碳、以人为本、高效运营、社会责任、持续改进、因地制宜、分类指导、公开透明、多方参与、价值导向十大基本原则，统领标准整体框架与技术内容，确保标准方向正确、理念先进、逻辑清晰、重点突出、符合国情、贴合实际。</w:t>
      </w:r>
    </w:p>
    <w:p w14:paraId="34F4D2C5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3.环境维度（绿色低碳，10项核心指标）</w:t>
      </w:r>
    </w:p>
    <w:p w14:paraId="3DECEB35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聚焦节能、节水、低碳、环保、生态，推动楼宇资源高效利用、污染</w:t>
      </w:r>
      <w:r>
        <w:rPr>
          <w:rFonts w:hint="eastAsia"/>
        </w:rPr>
        <w:lastRenderedPageBreak/>
        <w:t>物减排、生态环境保护。</w:t>
      </w:r>
    </w:p>
    <w:p w14:paraId="436A0DA9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能源管理：能耗统计监测、能源审计、节能改造、可再生能源利用、碳排放核算与减排；</w:t>
      </w:r>
    </w:p>
    <w:p w14:paraId="39FE723C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水资源利用：节水器具、雨水回收、中水利用、水资源计量与管理；</w:t>
      </w:r>
    </w:p>
    <w:p w14:paraId="06980592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废弃物管理：垃圾分类、减量排放、资源化利用、无害化处理、有害废弃物管控；</w:t>
      </w:r>
    </w:p>
    <w:p w14:paraId="4E1EF975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绿色采购：绿色建材、节能设备、环保产品、低碳服务、优先采购认证产品；</w:t>
      </w:r>
    </w:p>
    <w:p w14:paraId="3FBA0847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室内环境质量：空气质量、温湿度、噪声控制、采光照明、室内装饰环保；</w:t>
      </w:r>
    </w:p>
    <w:p w14:paraId="1524A88B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生态保护与绿化：绿地率、垂直绿化、屋顶绿化、生物多样性保护、生态景观营造。</w:t>
      </w:r>
    </w:p>
    <w:p w14:paraId="4C978985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4.社会维度（责任与服务，10项核心指标）</w:t>
      </w:r>
    </w:p>
    <w:p w14:paraId="510630E3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聚焦安全、健康、服务、责任、文化、权益，保障人员安全健康、提升服务品质、履行社会责任。</w:t>
      </w:r>
    </w:p>
    <w:p w14:paraId="5F0A8BF4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安全管理：消防安全、治安安全、设施安全、应急管理、安全培训与演练；</w:t>
      </w:r>
    </w:p>
    <w:p w14:paraId="54EB3046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健康福祉：职业健康、公共卫生、心理健康、健身设施、健康服务；</w:t>
      </w:r>
    </w:p>
    <w:p w14:paraId="5E0E31E9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服务质量：服务标准、服务流程、服务响应、投诉处理、满意度评价；</w:t>
      </w:r>
    </w:p>
    <w:p w14:paraId="59173450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社会责任：诚信经营、依法纳税、就业促进、公益慈善、社区共建；</w:t>
      </w:r>
    </w:p>
    <w:p w14:paraId="5A43CF2F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文化建设：企业文化、楼宇文化、绿色文化、低碳文化、文明创建；</w:t>
      </w:r>
    </w:p>
    <w:p w14:paraId="197C3284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权益保障：员工权益、租户权益、消费者权益、公平交易、信息公开。</w:t>
      </w:r>
    </w:p>
    <w:p w14:paraId="4581FEDD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5.经济维度（高效与价值，9项核心指标）</w:t>
      </w:r>
    </w:p>
    <w:p w14:paraId="6BF1FF52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聚焦效率、成本、价值、集聚、创新、效益，提升运营效率、降低运</w:t>
      </w:r>
      <w:r>
        <w:rPr>
          <w:rFonts w:hint="eastAsia"/>
        </w:rPr>
        <w:lastRenderedPageBreak/>
        <w:t>营成本、增强资产价值、促进产业集聚。</w:t>
      </w:r>
    </w:p>
    <w:p w14:paraId="2A40EB6C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运营效率：入住率、出租率、续租率、资产利用率、运营管理信息化；</w:t>
      </w:r>
    </w:p>
    <w:p w14:paraId="23D261BB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成本控制：能耗成本、水耗成本、运维成本、人力成本、全生命周期成本；</w:t>
      </w:r>
    </w:p>
    <w:p w14:paraId="77129BC5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资产价值：资产保值增值、租金水平、市场竞争力、绿色溢价、ESG 评级；</w:t>
      </w:r>
    </w:p>
    <w:p w14:paraId="6B19DEA4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产业集聚：主导产业集聚度、产业链配套、企业协同、创新生态、税收贡献；</w:t>
      </w:r>
    </w:p>
    <w:p w14:paraId="3B51C947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经济效益：平方税收、单位面积产值、就业密度、投资回报率、经济拉动效应。</w:t>
      </w:r>
    </w:p>
    <w:p w14:paraId="5A71C2A8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6.效益评价</w:t>
      </w:r>
    </w:p>
    <w:p w14:paraId="4FA5DB38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建立定量与定性相结合、指标评分与权重赋值相结合、自评与第三方评价相结合的可持续发展运营评价体系，明确评价主体、评价对象、评价周期、评价流程、评分规则、权重设置、等级划分、评价报告等要求，实现商务楼宇可持续发展水平可量化、可对比、可认证、可推广。</w:t>
      </w:r>
    </w:p>
    <w:p w14:paraId="3FC6A7F0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7.持续改进</w:t>
      </w:r>
    </w:p>
    <w:p w14:paraId="3D720F5F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建立运营监测、数据分析、问题识别、整改优化、绩效提升、经验推广的闭环持续改进机制，明确持续改进原则、流程、方法、责任、目标、考核等要求，推动商务楼宇可持续发展运营水平螺旋上升、长期提升、动态优化、持续领先。</w:t>
      </w:r>
    </w:p>
    <w:p w14:paraId="5C6DE5B9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8.附录（指标计算方法）</w:t>
      </w:r>
    </w:p>
    <w:p w14:paraId="42B86683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详细规定绿地率、停车位配置面积、电梯配置面积、业主持有率、入住率、属地率、整层出租率、经常性税收同比增长率、平方税收、楼宇贡献值、重点行业集聚度等11项关键指标的计算公式、统计口径、数据来</w:t>
      </w:r>
      <w:r>
        <w:rPr>
          <w:rFonts w:hint="eastAsia"/>
        </w:rPr>
        <w:lastRenderedPageBreak/>
        <w:t>源、计算步骤、结果判定，确保指标计算统一、规范、准确、可比，为标准实施提供直接、可操作的技术支撑</w:t>
      </w:r>
      <w:r>
        <w:t>。</w:t>
      </w:r>
    </w:p>
    <w:p w14:paraId="0C05E44E" w14:textId="77777777" w:rsidR="007E1762" w:rsidRDefault="00000000">
      <w:pPr>
        <w:spacing w:before="80" w:after="60" w:line="360" w:lineRule="auto"/>
        <w:ind w:firstLine="560"/>
        <w:rPr>
          <w:rFonts w:hint="eastAsia"/>
        </w:rPr>
      </w:pPr>
      <w:r>
        <w:rPr>
          <w:b/>
          <w:bCs/>
        </w:rPr>
        <w:t>（三）编写依据</w:t>
      </w:r>
    </w:p>
    <w:p w14:paraId="4C95708D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t>本标准严格遵循GB/T 1.1-2020《标准化工作导则 第1部分：标准文件的结构和起草规则》，主要依据</w:t>
      </w:r>
      <w:r>
        <w:rPr>
          <w:rFonts w:hint="eastAsia"/>
        </w:rPr>
        <w:t>依据《中华人民共和国标准化法》《中华人民共和国节约能源法》《中华人民共和国循环经济促进法》《中华人民共和国环境保护法》《中华人民共和国消防法》《民用建筑节能条例》《物业管理条例》</w:t>
      </w:r>
      <w:r>
        <w:t>等国家政策文件和行业规范，参考</w:t>
      </w:r>
      <w:r>
        <w:rPr>
          <w:rFonts w:hint="eastAsia"/>
        </w:rPr>
        <w:t>GB/T 50378-2019《绿色建筑评价标准》、GB/T 23331-2020《能源管理体系 要求及使用指南》、GB/T 20647.9-2006《社区服务指南 第9部分：物业服务》、GB/T 39067-2020《商务楼宇公共服务规范》、GB/T 39069-2020《商务楼宇等级划分要求》等现行国家标准；借鉴杭州、嘉兴、温州等地已发布的商务楼宇运营、效益评价地方标准技术指标与实践经验，同时参考ISO 可持续发展、建筑绿色运营相关国际导则</w:t>
      </w:r>
      <w:r>
        <w:t>，</w:t>
      </w:r>
      <w:r>
        <w:rPr>
          <w:rFonts w:hint="eastAsia"/>
        </w:rPr>
        <w:t>结合杭州市上城区大量标杆楼宇运营数据、绿色改造试点案例、标准化建设工作经验，立足全国商务楼宇运营管理实际痛点与发展需求，统筹兼顾不同区域、不同规模商务楼宇的通用性与差异化要求完成标准内容编制</w:t>
      </w:r>
      <w:r>
        <w:t>。</w:t>
      </w:r>
    </w:p>
    <w:p w14:paraId="3B7F0220" w14:textId="77777777" w:rsidR="007E1762" w:rsidRDefault="00000000">
      <w:pPr>
        <w:spacing w:before="160" w:after="80" w:line="360" w:lineRule="auto"/>
        <w:ind w:firstLine="560"/>
        <w:rPr>
          <w:rFonts w:hint="eastAsia"/>
        </w:rPr>
      </w:pPr>
      <w:r>
        <w:rPr>
          <w:b/>
          <w:bCs/>
        </w:rPr>
        <w:t>五、标准的水平</w:t>
      </w:r>
    </w:p>
    <w:p w14:paraId="56550B5E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首次构建“环境—社会—经济”三维一体、贯穿运营全周期、覆盖可持续发展全要素的商务楼宇运营标准体系，突破传统标准单一维度、重硬件轻运营、重建设轻管理的局限，全面系统、科学完整、逻辑严密、内涵丰富，充分体现新时代商务楼宇绿色低碳、健康安全、高效运营、社会责任、可持续发展的核心要求，具有开创性、引领性、标志性意义。</w:t>
      </w:r>
    </w:p>
    <w:p w14:paraId="1379CD0B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充分吸收浙江、上海、广东、北京等地地方标准成熟指标、先进经验与成功做法，借鉴国际可持续建筑、绿色运营、ESG 评价先进理念与指标</w:t>
      </w:r>
      <w:r>
        <w:rPr>
          <w:rFonts w:hint="eastAsia"/>
        </w:rPr>
        <w:lastRenderedPageBreak/>
        <w:t>框架，结合全国商务楼宇实际情况、运营特点、发展需求，科学筛选、优化整合、创新设计29项核心运营指标、11项关键计算指标，指标设置全面、重点突出、针对性强、可量化、可对比、可操作、可推广，兼顾通用性与差异化、先进性与实用性、系统性与简洁性，既能客观衡量商务楼宇可持续发展水平，又能有效指导日常运营管理实践，填补国内同类指标体系空白。</w:t>
      </w:r>
    </w:p>
    <w:p w14:paraId="6516FED7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立足地方实践、面向全国应用、接轨国际发展，适用范围覆盖全国所有新建、改建、扩建及在用商务楼宇，指标体系兼顾不同地区、不同规模、不同档次、不同产权性质、不同运营模式商务楼宇的共性要求与差异化需求，权威性更高、适用范围更广、影响力更大、推广力度更强、示范效应更好，有效解决地方标准适用局限、口径不一、推广困难等问题，形成全国统一、权威规范、可复制推广的商务楼宇可持续发展运营模式。</w:t>
      </w:r>
    </w:p>
    <w:p w14:paraId="77BFBE2D" w14:textId="77777777" w:rsidR="007E1762" w:rsidRDefault="00000000">
      <w:pPr>
        <w:spacing w:before="160" w:after="80" w:line="360" w:lineRule="auto"/>
        <w:ind w:firstLine="560"/>
        <w:rPr>
          <w:rFonts w:hint="eastAsia"/>
        </w:rPr>
      </w:pPr>
      <w:r>
        <w:rPr>
          <w:b/>
          <w:bCs/>
        </w:rPr>
        <w:t>六、与有关的现行法律法规和强制性国家标准的关系</w:t>
      </w:r>
    </w:p>
    <w:p w14:paraId="1B637DA1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本标准符合《中华人民共和国标准化法》《中华人民共和国节约能源法》《中华人民共和国循环经济促进法》《中华人民共和国消防法》《民用建筑节能条例》《物业管理条例》等现行法律法规要求，与GB/T 50378-2019《绿色建筑评价标准》、GB/T 20647.9-2006《社区服务指南 第 9 部分：物业服务》、GB/T 23331-2020《能源管理体系 要求及使用指南》、GB/T 39067-2020《商务楼宇公共服务规范》、GB/T 39069-2020《商务楼宇等级划分要求》等相关国家标准及行业规范保持一致，无冲突与抵触。</w:t>
      </w:r>
    </w:p>
    <w:p w14:paraId="165D6026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本标准立足商务楼宇运营全周期，整合绿色运维、资源节约、健康服务、社会责任、资产效益等多维要求，重点规范楼宇投入使用后的可持续运营活动，与上述标准有机衔接、互为补充。标准的发布实施，将进一步推动相关法律法规和各类标准落地见效，形成协同支撑商务楼宇绿色低碳</w:t>
      </w:r>
      <w:r>
        <w:rPr>
          <w:rFonts w:hint="eastAsia"/>
        </w:rPr>
        <w:lastRenderedPageBreak/>
        <w:t>高质量发展的制度体系。</w:t>
      </w:r>
    </w:p>
    <w:p w14:paraId="50F0AD24" w14:textId="77777777" w:rsidR="007E1762" w:rsidRDefault="00000000">
      <w:pPr>
        <w:spacing w:before="160" w:after="80" w:line="360" w:lineRule="auto"/>
        <w:ind w:firstLine="560"/>
        <w:rPr>
          <w:rFonts w:hint="eastAsia"/>
          <w:b/>
          <w:bCs/>
        </w:rPr>
      </w:pPr>
      <w:r>
        <w:rPr>
          <w:b/>
          <w:bCs/>
        </w:rPr>
        <w:t>七、贯彻标准的要求和措施建议</w:t>
      </w:r>
    </w:p>
    <w:p w14:paraId="6EE42A4E" w14:textId="77777777" w:rsidR="007E1762" w:rsidRDefault="00000000">
      <w:pPr>
        <w:spacing w:before="160" w:after="80" w:line="360" w:lineRule="auto"/>
        <w:ind w:firstLine="560"/>
        <w:rPr>
          <w:rFonts w:hint="eastAsia"/>
        </w:rPr>
      </w:pPr>
      <w:r>
        <w:rPr>
          <w:rFonts w:hint="eastAsia"/>
        </w:rPr>
        <w:t>标准发布后，将组织开展标准宣贯、解读培训和推广交流工作，指导行业企业掌握标准要求并规范运营；培育示范项目与标杆企业，总结推广典型经验；同步开展标准实施跟踪、效果评估与动态优化，持续提升标准适用性与行业影响力，推动商务楼宇可持续发展运营模式在全国落地应用</w:t>
      </w:r>
      <w:r>
        <w:t>。</w:t>
      </w:r>
    </w:p>
    <w:p w14:paraId="470AE17F" w14:textId="77777777" w:rsidR="007E1762" w:rsidRDefault="00000000">
      <w:pPr>
        <w:spacing w:before="160" w:after="80" w:line="360" w:lineRule="auto"/>
        <w:ind w:firstLine="560"/>
        <w:rPr>
          <w:rFonts w:hint="eastAsia"/>
        </w:rPr>
      </w:pPr>
      <w:r>
        <w:rPr>
          <w:b/>
          <w:bCs/>
        </w:rPr>
        <w:t>八、标准实施的预期效果</w:t>
      </w:r>
    </w:p>
    <w:p w14:paraId="3131F007" w14:textId="77777777" w:rsidR="007E1762" w:rsidRDefault="00000000">
      <w:pPr>
        <w:spacing w:before="60" w:after="60" w:line="360" w:lineRule="auto"/>
        <w:ind w:firstLine="560"/>
        <w:rPr>
          <w:rFonts w:hint="eastAsia"/>
        </w:rPr>
      </w:pPr>
      <w:r>
        <w:rPr>
          <w:rFonts w:hint="eastAsia"/>
        </w:rPr>
        <w:t>本标准发布实施后，将形成全国统一的商务楼宇可持续运营管理依据，有效规范行业运营行为，补齐商务楼宇绿色低碳、综合可持续管理领域标准空白。</w:t>
      </w:r>
      <w:r>
        <w:rPr>
          <w:rFonts w:hint="eastAsia"/>
          <w:b/>
          <w:bCs/>
        </w:rPr>
        <w:t>从产业层面，</w:t>
      </w:r>
      <w:r>
        <w:rPr>
          <w:rFonts w:hint="eastAsia"/>
        </w:rPr>
        <w:t>可统一行业可持续发展评价口径，推动商务楼宇由传统粗放运维向节能低碳、高效集约、兼顾社会与经济效益的模式转型，带动绿色运维、节能改造、ESG咨询、绿色金融等上下游配套产业协同发展，助力各地楼宇经济提质增效。</w:t>
      </w:r>
      <w:r>
        <w:rPr>
          <w:rFonts w:hint="eastAsia"/>
          <w:b/>
          <w:bCs/>
        </w:rPr>
        <w:t>从管理层面，</w:t>
      </w:r>
      <w:r>
        <w:rPr>
          <w:rFonts w:hint="eastAsia"/>
        </w:rPr>
        <w:t>为政府部门开展楼宇行业监管、政策评估、示范培育提供清晰抓手，帮助运营主体建立环境、社会、经济三维一体的闭环管理体系，持续降低楼宇能耗、水耗及运维综合成本，提升楼宇资产价值与市场竞争力。</w:t>
      </w:r>
      <w:r>
        <w:rPr>
          <w:rFonts w:hint="eastAsia"/>
          <w:b/>
          <w:bCs/>
        </w:rPr>
        <w:t>从社会与生态层面</w:t>
      </w:r>
      <w:r>
        <w:rPr>
          <w:rFonts w:hint="eastAsia"/>
        </w:rPr>
        <w:t>，引导楼宇落实节能降碳、垃圾分类、健康空间打造、社会责任履行等要求，持续减少建筑领域碳排放，改善办公环境品质，助力城市可持续社区建设与国家“双碳”战略落地；同时为绿色认证、楼宇评级、绿色信贷投资提供统一评价标尺，加快商务楼宇可持续发展价值市场化转化，形成可复制、可推广的全国性楼宇可持续运营样板模式，全面提升我国商务楼宇行业标准化、绿色化、高质量发展水平。</w:t>
      </w:r>
    </w:p>
    <w:p w14:paraId="5D115000" w14:textId="77777777" w:rsidR="007E1762" w:rsidRDefault="00000000">
      <w:pPr>
        <w:spacing w:before="200"/>
        <w:jc w:val="center"/>
        <w:rPr>
          <w:rFonts w:hint="eastAsia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PAGE</w:instrText>
      </w:r>
      <w:r>
        <w:rPr>
          <w:rFonts w:hint="eastAsia"/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sectPr w:rsidR="007E176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AE63" w14:textId="77777777" w:rsidR="00CA62BD" w:rsidRDefault="00CA62BD" w:rsidP="00A919BB">
      <w:pPr>
        <w:rPr>
          <w:rFonts w:hint="eastAsia"/>
        </w:rPr>
      </w:pPr>
      <w:r>
        <w:separator/>
      </w:r>
    </w:p>
  </w:endnote>
  <w:endnote w:type="continuationSeparator" w:id="0">
    <w:p w14:paraId="56AD6732" w14:textId="77777777" w:rsidR="00CA62BD" w:rsidRDefault="00CA62BD" w:rsidP="00A919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6A8C" w14:textId="77777777" w:rsidR="00CA62BD" w:rsidRDefault="00CA62BD" w:rsidP="00A919BB">
      <w:pPr>
        <w:rPr>
          <w:rFonts w:hint="eastAsia"/>
        </w:rPr>
      </w:pPr>
      <w:r>
        <w:separator/>
      </w:r>
    </w:p>
  </w:footnote>
  <w:footnote w:type="continuationSeparator" w:id="0">
    <w:p w14:paraId="68E1F12E" w14:textId="77777777" w:rsidR="00CA62BD" w:rsidRDefault="00CA62BD" w:rsidP="00A919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D6D"/>
    <w:rsid w:val="000B0945"/>
    <w:rsid w:val="000C1175"/>
    <w:rsid w:val="00122835"/>
    <w:rsid w:val="00125219"/>
    <w:rsid w:val="001A7A84"/>
    <w:rsid w:val="001C2F91"/>
    <w:rsid w:val="002805E7"/>
    <w:rsid w:val="002A598A"/>
    <w:rsid w:val="0032340A"/>
    <w:rsid w:val="003458B7"/>
    <w:rsid w:val="00350CC0"/>
    <w:rsid w:val="003851CA"/>
    <w:rsid w:val="003A1AE8"/>
    <w:rsid w:val="003C056B"/>
    <w:rsid w:val="003F19C4"/>
    <w:rsid w:val="00400CA5"/>
    <w:rsid w:val="00445F9F"/>
    <w:rsid w:val="00501C80"/>
    <w:rsid w:val="00647993"/>
    <w:rsid w:val="006B297F"/>
    <w:rsid w:val="00760CE1"/>
    <w:rsid w:val="007725E8"/>
    <w:rsid w:val="007D32AE"/>
    <w:rsid w:val="007E1762"/>
    <w:rsid w:val="008C102C"/>
    <w:rsid w:val="008D1D00"/>
    <w:rsid w:val="009220D5"/>
    <w:rsid w:val="00A60286"/>
    <w:rsid w:val="00A82825"/>
    <w:rsid w:val="00A919BB"/>
    <w:rsid w:val="00B17F43"/>
    <w:rsid w:val="00B25EB3"/>
    <w:rsid w:val="00B80152"/>
    <w:rsid w:val="00BF1586"/>
    <w:rsid w:val="00C57D6D"/>
    <w:rsid w:val="00CA62BD"/>
    <w:rsid w:val="00D67288"/>
    <w:rsid w:val="00D906AC"/>
    <w:rsid w:val="00DF533E"/>
    <w:rsid w:val="00E420A9"/>
    <w:rsid w:val="00E45B3C"/>
    <w:rsid w:val="00E67B2A"/>
    <w:rsid w:val="00EA7377"/>
    <w:rsid w:val="00F058BC"/>
    <w:rsid w:val="00F80A3C"/>
    <w:rsid w:val="00FA7309"/>
    <w:rsid w:val="040D7E08"/>
    <w:rsid w:val="046B5540"/>
    <w:rsid w:val="10735670"/>
    <w:rsid w:val="15F34E64"/>
    <w:rsid w:val="5EFC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97511"/>
  <w15:docId w15:val="{77795A70-7779-4A6D-82C1-D2D0F127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="仿宋_GB2312" w:cs="仿宋_GB231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unhideWhenUsed="1" w:qFormat="1"/>
    <w:lsdException w:name="annotation reference" w:qFormat="1"/>
    <w:lsdException w:name="endnote reference" w:semiHidden="1" w:uiPriority="99" w:unhideWhenUsed="1" w:qFormat="1"/>
    <w:lsdException w:name="endnote text" w:semiHidden="1" w:uiPriority="99" w:unhideWhenUsed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8"/>
      <w:szCs w:val="28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8"/>
      <w:szCs w:val="28"/>
    </w:rPr>
  </w:style>
  <w:style w:type="paragraph" w:styleId="5">
    <w:name w:val="heading 5"/>
    <w:next w:val="a"/>
    <w:qFormat/>
    <w:pPr>
      <w:outlineLvl w:val="4"/>
    </w:pPr>
    <w:rPr>
      <w:color w:val="2E74B5"/>
      <w:sz w:val="28"/>
      <w:szCs w:val="28"/>
    </w:rPr>
  </w:style>
  <w:style w:type="paragraph" w:styleId="6">
    <w:name w:val="heading 6"/>
    <w:next w:val="a"/>
    <w:qFormat/>
    <w:pPr>
      <w:outlineLvl w:val="5"/>
    </w:pPr>
    <w:rPr>
      <w:color w:val="1F4D7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endnote text"/>
    <w:link w:val="a6"/>
    <w:uiPriority w:val="99"/>
    <w:semiHidden/>
    <w:unhideWhenUsed/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link w:val="ac"/>
    <w:uiPriority w:val="99"/>
    <w:semiHidden/>
    <w:unhideWhenUsed/>
    <w:qFormat/>
  </w:style>
  <w:style w:type="paragraph" w:styleId="ad">
    <w:name w:val="Title"/>
    <w:qFormat/>
    <w:rPr>
      <w:sz w:val="56"/>
      <w:szCs w:val="56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character" w:styleId="af0">
    <w:name w:val="endnote reference"/>
    <w:uiPriority w:val="99"/>
    <w:semiHidden/>
    <w:unhideWhenUsed/>
    <w:qFormat/>
    <w:rPr>
      <w:vertAlign w:val="superscript"/>
    </w:rPr>
  </w:style>
  <w:style w:type="character" w:styleId="af1">
    <w:name w:val="Hyperlink"/>
    <w:uiPriority w:val="99"/>
    <w:unhideWhenUsed/>
    <w:qFormat/>
    <w:rPr>
      <w:color w:val="0563C1"/>
      <w:u w:val="single"/>
    </w:rPr>
  </w:style>
  <w:style w:type="character" w:styleId="af2">
    <w:name w:val="annotation reference"/>
    <w:basedOn w:val="a0"/>
    <w:qFormat/>
    <w:rPr>
      <w:sz w:val="21"/>
      <w:szCs w:val="21"/>
    </w:rPr>
  </w:style>
  <w:style w:type="character" w:styleId="af3">
    <w:name w:val="footnote reference"/>
    <w:uiPriority w:val="99"/>
    <w:semiHidden/>
    <w:unhideWhenUsed/>
    <w:qFormat/>
    <w:rPr>
      <w:vertAlign w:val="superscript"/>
    </w:rPr>
  </w:style>
  <w:style w:type="paragraph" w:styleId="af4">
    <w:name w:val="List Paragraph"/>
    <w:qFormat/>
    <w:rPr>
      <w:sz w:val="28"/>
      <w:szCs w:val="28"/>
    </w:rPr>
  </w:style>
  <w:style w:type="character" w:customStyle="1" w:styleId="ac">
    <w:name w:val="脚注文本 字符"/>
    <w:link w:val="ab"/>
    <w:uiPriority w:val="99"/>
    <w:semiHidden/>
    <w:unhideWhenUsed/>
    <w:qFormat/>
    <w:rPr>
      <w:sz w:val="20"/>
      <w:szCs w:val="20"/>
    </w:rPr>
  </w:style>
  <w:style w:type="character" w:customStyle="1" w:styleId="a6">
    <w:name w:val="尾注文本 字符"/>
    <w:link w:val="a5"/>
    <w:uiPriority w:val="99"/>
    <w:semiHidden/>
    <w:unhideWhenUsed/>
    <w:qFormat/>
    <w:rPr>
      <w:sz w:val="20"/>
      <w:szCs w:val="20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rPr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sz w:val="28"/>
      <w:szCs w:val="28"/>
    </w:rPr>
  </w:style>
  <w:style w:type="character" w:customStyle="1" w:styleId="a4">
    <w:name w:val="批注文字 字符"/>
    <w:basedOn w:val="a0"/>
    <w:link w:val="a3"/>
    <w:qFormat/>
    <w:rPr>
      <w:sz w:val="28"/>
      <w:szCs w:val="28"/>
    </w:rPr>
  </w:style>
  <w:style w:type="character" w:customStyle="1" w:styleId="af">
    <w:name w:val="批注主题 字符"/>
    <w:basedOn w:val="a4"/>
    <w:link w:val="ae"/>
    <w:qFormat/>
    <w:rPr>
      <w:b/>
      <w:bCs/>
      <w:sz w:val="28"/>
      <w:szCs w:val="28"/>
    </w:rPr>
  </w:style>
  <w:style w:type="paragraph" w:styleId="af5">
    <w:name w:val="Revision"/>
    <w:hidden/>
    <w:uiPriority w:val="99"/>
    <w:unhideWhenUsed/>
    <w:rsid w:val="00A919B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ym t</cp:lastModifiedBy>
  <cp:revision>34</cp:revision>
  <dcterms:created xsi:type="dcterms:W3CDTF">2026-03-31T05:03:00Z</dcterms:created>
  <dcterms:modified xsi:type="dcterms:W3CDTF">2026-07-21T09:26:00Z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eyJoZGlkIjoiZjFmZWIzNDg2MmIzZjExOTIzMmViNTBmYTMwYTk0ZWYiLCJ1c2VySWQiOiIyMjc1NTU1NDUifQ==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BF727E896E444C2B987CCB69DFDA0A00_12</vt:lpwstr>
  </property>
</Properties>
</file>