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BE219E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681C6477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244720AB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57BD0820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5D43AC48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黑体" w:hAnsi="黑体" w:eastAsia="黑体" w:cs="宋体"/>
          <w:sz w:val="48"/>
          <w:szCs w:val="48"/>
          <w:lang w:val="zh-TW"/>
        </w:rPr>
      </w:pPr>
      <w:r>
        <w:rPr>
          <w:rFonts w:ascii="黑体" w:hAnsi="黑体" w:eastAsia="黑体" w:cs="宋体"/>
          <w:sz w:val="48"/>
          <w:szCs w:val="48"/>
          <w:lang w:val="zh-TW"/>
        </w:rPr>
        <w:t>《</w:t>
      </w:r>
      <w:r>
        <w:rPr>
          <w:rFonts w:hint="eastAsia" w:ascii="黑体" w:hAnsi="黑体" w:eastAsia="黑体" w:cs="宋体"/>
          <w:sz w:val="48"/>
          <w:szCs w:val="48"/>
          <w:lang w:val="zh-TW"/>
        </w:rPr>
        <w:t>文创产品策划运营管理指南</w:t>
      </w:r>
      <w:r>
        <w:rPr>
          <w:rFonts w:ascii="黑体" w:hAnsi="黑体" w:eastAsia="黑体" w:cs="宋体"/>
          <w:sz w:val="48"/>
          <w:szCs w:val="48"/>
          <w:lang w:val="zh-TW"/>
        </w:rPr>
        <w:t>》</w:t>
      </w:r>
    </w:p>
    <w:p w14:paraId="09EDA2D2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黑体" w:hAnsi="黑体" w:eastAsia="黑体" w:cs="宋体"/>
          <w:sz w:val="48"/>
          <w:szCs w:val="48"/>
          <w:lang w:val="zh-TW"/>
        </w:rPr>
      </w:pPr>
      <w:r>
        <w:rPr>
          <w:rFonts w:ascii="黑体" w:hAnsi="黑体" w:eastAsia="黑体" w:cs="宋体"/>
          <w:sz w:val="48"/>
          <w:szCs w:val="48"/>
          <w:lang w:val="zh-TW"/>
        </w:rPr>
        <w:t>团体标准编制说明</w:t>
      </w:r>
    </w:p>
    <w:p w14:paraId="7C8C1B0B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黑体" w:hAnsi="黑体" w:eastAsia="黑体" w:cs="宋体"/>
          <w:sz w:val="48"/>
          <w:szCs w:val="48"/>
          <w:lang w:val="zh-TW"/>
        </w:rPr>
      </w:pPr>
      <w:r>
        <w:rPr>
          <w:rFonts w:ascii="黑体" w:hAnsi="黑体" w:eastAsia="黑体" w:cs="宋体"/>
          <w:sz w:val="48"/>
          <w:szCs w:val="48"/>
          <w:lang w:val="zh-TW"/>
        </w:rPr>
        <w:t>（</w:t>
      </w:r>
      <w:r>
        <w:rPr>
          <w:rFonts w:ascii="黑体" w:hAnsi="黑体" w:eastAsia="黑体" w:cs="宋体"/>
          <w:sz w:val="48"/>
          <w:szCs w:val="48"/>
        </w:rPr>
        <w:t>征求意见</w:t>
      </w:r>
      <w:r>
        <w:rPr>
          <w:rFonts w:ascii="黑体" w:hAnsi="黑体" w:eastAsia="黑体" w:cs="宋体"/>
          <w:sz w:val="48"/>
          <w:szCs w:val="48"/>
          <w:lang w:val="zh-TW"/>
        </w:rPr>
        <w:t>稿）</w:t>
      </w:r>
    </w:p>
    <w:p w14:paraId="25F65D26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776040DC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42A531C1">
      <w:pPr>
        <w:framePr w:wrap="auto" w:vAnchor="margin" w:hAnchor="text" w:yAlign="inline"/>
        <w:spacing w:before="120" w:beforeLines="50" w:after="120" w:afterLines="50" w:line="300" w:lineRule="auto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5672A070">
      <w:pPr>
        <w:framePr w:wrap="auto" w:vAnchor="margin" w:hAnchor="text" w:yAlign="inline"/>
        <w:spacing w:before="120" w:beforeLines="50" w:after="120" w:afterLines="50" w:line="300" w:lineRule="auto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0681D50A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3DD686C6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69FD1EDD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48"/>
          <w:szCs w:val="48"/>
          <w:lang w:val="zh-TW"/>
        </w:rPr>
      </w:pPr>
    </w:p>
    <w:p w14:paraId="2E95E252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b/>
          <w:bCs/>
          <w:sz w:val="28"/>
          <w:szCs w:val="28"/>
          <w:lang w:val="zh-TW"/>
        </w:rPr>
      </w:pPr>
      <w:r>
        <w:rPr>
          <w:rFonts w:hint="cs" w:ascii="宋体" w:hAnsi="宋体" w:eastAsia="宋体" w:cs="宋体"/>
          <w:b/>
          <w:bCs/>
          <w:sz w:val="28"/>
          <w:szCs w:val="28"/>
          <w:lang w:val="zh-TW"/>
        </w:rPr>
        <w:t>中国国际贸易促进委员会商业行业委员会</w:t>
      </w:r>
    </w:p>
    <w:p w14:paraId="47183C0E">
      <w:pPr>
        <w:framePr w:wrap="auto" w:vAnchor="margin" w:hAnchor="text" w:yAlign="inline"/>
        <w:spacing w:before="120" w:beforeLines="50" w:after="120" w:afterLines="50" w:line="300" w:lineRule="auto"/>
        <w:jc w:val="center"/>
        <w:outlineLvl w:val="0"/>
        <w:rPr>
          <w:rFonts w:ascii="宋体" w:hAnsi="宋体" w:eastAsia="宋体" w:cs="宋体"/>
          <w:sz w:val="28"/>
          <w:szCs w:val="28"/>
          <w:lang w:val="zh-TW" w:eastAsia="zh-TW"/>
        </w:rPr>
      </w:pPr>
      <w:r>
        <w:rPr>
          <w:rFonts w:ascii="宋体" w:hAnsi="宋体" w:eastAsia="宋体" w:cs="宋体"/>
          <w:sz w:val="28"/>
          <w:szCs w:val="28"/>
          <w:lang w:val="zh-TW" w:eastAsia="zh-TW"/>
        </w:rPr>
        <w:t>二〇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二六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六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八</w:t>
      </w:r>
      <w:r>
        <w:rPr>
          <w:rFonts w:ascii="宋体" w:hAnsi="宋体" w:eastAsia="宋体" w:cs="宋体"/>
          <w:sz w:val="28"/>
          <w:szCs w:val="28"/>
          <w:lang w:val="zh-TW" w:eastAsia="zh-TW"/>
        </w:rPr>
        <w:t>日</w:t>
      </w:r>
    </w:p>
    <w:p w14:paraId="07C4BDE1">
      <w:pPr>
        <w:framePr w:wrap="auto" w:vAnchor="margin" w:hAnchor="text" w:yAlign="inline"/>
        <w:spacing w:line="300" w:lineRule="auto"/>
        <w:jc w:val="center"/>
        <w:outlineLvl w:val="0"/>
        <w:rPr>
          <w:rFonts w:ascii="宋体" w:hAnsi="宋体" w:eastAsia="宋体" w:cs="宋体"/>
          <w:b/>
          <w:bCs/>
          <w:sz w:val="32"/>
          <w:szCs w:val="32"/>
          <w:lang w:val="zh-TW" w:eastAsia="zh-TW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pgNumType w:start="1"/>
          <w:cols w:space="720" w:num="1"/>
        </w:sectPr>
      </w:pPr>
    </w:p>
    <w:p w14:paraId="21B51D95">
      <w:pPr>
        <w:framePr w:wrap="auto" w:vAnchor="margin" w:hAnchor="text" w:yAlign="inline"/>
        <w:spacing w:line="300" w:lineRule="auto"/>
        <w:jc w:val="center"/>
        <w:outlineLvl w:val="0"/>
        <w:rPr>
          <w:rFonts w:hint="default"/>
          <w:b/>
          <w:bCs/>
          <w:sz w:val="32"/>
          <w:szCs w:val="32"/>
          <w:lang w:val="zh-TW"/>
        </w:rPr>
      </w:pPr>
      <w:r>
        <w:rPr>
          <w:rFonts w:hint="cs" w:ascii="宋体" w:hAnsi="宋体" w:eastAsia="宋体" w:cs="宋体"/>
          <w:b/>
          <w:bCs/>
          <w:sz w:val="32"/>
          <w:szCs w:val="32"/>
          <w:lang w:val="zh-TW"/>
        </w:rPr>
        <w:t>《文创产品策划运营管理指南》</w:t>
      </w:r>
      <w:r>
        <w:rPr>
          <w:rFonts w:ascii="宋体" w:hAnsi="宋体" w:eastAsia="宋体" w:cs="宋体"/>
          <w:b/>
          <w:bCs/>
          <w:sz w:val="32"/>
          <w:szCs w:val="32"/>
          <w:lang w:val="zh-TW"/>
        </w:rPr>
        <w:t>团体标准编制说明</w:t>
      </w:r>
    </w:p>
    <w:p w14:paraId="3C3CA37D">
      <w:pPr>
        <w:framePr w:wrap="auto" w:vAnchor="margin" w:hAnchor="text" w:yAlign="inline"/>
        <w:spacing w:line="360" w:lineRule="auto"/>
        <w:ind w:firstLine="482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 w14:paraId="7D58BB63">
      <w:pPr>
        <w:pStyle w:val="14"/>
        <w:framePr w:wrap="auto" w:vAnchor="margin" w:hAnchor="text" w:yAlign="inline"/>
        <w:numPr>
          <w:ilvl w:val="0"/>
          <w:numId w:val="2"/>
        </w:numPr>
        <w:spacing w:line="360" w:lineRule="auto"/>
        <w:rPr>
          <w:rFonts w:ascii="宋体" w:hAnsi="宋体" w:eastAsia="PMingLiU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 w:eastAsia="zh-TW"/>
        </w:rPr>
        <w:t>标准项目来源</w:t>
      </w:r>
    </w:p>
    <w:p w14:paraId="1F9C8485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文化创意产业是推动中华优秀传统文化创造性转化、创新性发展的重要载体，也是扩大文化和旅游消费、丰富服务消费场景、提升文化产品供给质量的重要支撑。文创产品作为文化资源、创意设计、生产转化、数字技术、市场运营和用户体验融合形成的综合性产品形态，在博物馆、旅游景区、公共文化机构、非遗保护传承机构、数字文化企业、电商平台、城市礼赠、研学教育和国际传播等场景中应用日益广泛。</w:t>
      </w:r>
    </w:p>
    <w:p w14:paraId="0CEC9B40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2025年以来，国家围绕扩大服务消费、繁荣文化和旅游消费、推动文旅体商融合、促进文博资源开放利用、发展数字服务消费和服务业扩能提质等方面持续作出部署。《关于进一步培育新增长点繁荣文化和旅游消费的若干措施》《提振消费专项行动方案》《文化和旅游部办公厅关于组织开展2025年全国文化和旅游消费促进活动的通知》《中华人民共和国国民经济和社会发展第十五个五年规划纲要》《国务院关于推进服务业扩能提质的意见》等政策文件，均对丰富文化和旅游产品供给、创新多元化消费场景、促进线上线下融合发展、推动数智技术赋能文旅消费、提升服务业标准化和融合化水平提出了要求，对文创产品策划运营的文化表达、产品供给、场景融合、数字赋能、合规管理和质量提升提出了更高要求。</w:t>
      </w:r>
    </w:p>
    <w:p w14:paraId="2420D8A2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为提升文创产品策划运营管理活动的规范化、专业化和可追溯水平，中国国际贸易促进委员会商业行业委员会组织研制《文创产品策划运营管理指南》团体标准，旨在为文创产品策划、设计、开发、生产、运营、推广、合规、评价和改进等全过程管理提供标准化指引。</w:t>
      </w:r>
    </w:p>
    <w:p w14:paraId="1B2B9B1A">
      <w:pPr>
        <w:pStyle w:val="14"/>
        <w:framePr w:wrap="auto" w:vAnchor="margin" w:hAnchor="text" w:yAlign="inline"/>
        <w:spacing w:line="360" w:lineRule="auto"/>
        <w:ind w:left="482" w:firstLine="0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/>
        </w:rPr>
        <w:t>二、标准制定的目的和意义</w:t>
      </w:r>
    </w:p>
    <w:p w14:paraId="3740E08B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本标准的研制，旨在建立科学、系统、可操作的文创产品策划运营管理指南，明确文创产品从文化资源挖掘、用户调研、产品定位、创意设计、生产转化、质量控制、渠道运营、内容传播、知识产权管理、数据安全、人工智能辅助应用到评价改进和档案管理的全过程管理要求，为各类组织开展文创产品策划运营提供参考依据。</w:t>
      </w:r>
    </w:p>
    <w:p w14:paraId="17B6F790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本标准的制定具有以下意义：一是规范文创产品策划运营管理流程，推动形成从立项、调研、策划、设计、打样、生产、上市、运营到复盘改进的全过程管理机制，提高文创产品开发运营的规范性和可追溯性；二是引导文创产品开发主体尊重文化原真性和文化语境，规范文化元素提炼、文化转译、文化叙事和文化敏感性审查，提升文创产品的文化表达质量和社会价值；三是强化知识产权、广告宣传、电商运营、个人信息保护、数据安全和人工智能生成内容标识等合规管理，降低侵权、舆情、质量和数据安全风险；四是提升文创产品的市场适配性和运营效率，推动文创产品与文旅消费、数字消费、全渠道运营、场景体验、研学教育和国际传播融合发展，为文化产业和服务消费高质量发展提供标准化支撑。</w:t>
      </w:r>
    </w:p>
    <w:p w14:paraId="137B8E83">
      <w:pPr>
        <w:pStyle w:val="14"/>
        <w:framePr w:wrap="auto" w:vAnchor="margin" w:hAnchor="text" w:yAlign="inline"/>
        <w:spacing w:line="360" w:lineRule="auto"/>
        <w:ind w:left="482" w:firstLine="0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/>
        </w:rPr>
      </w:pPr>
      <w:r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u w:color="0000FF"/>
          <w:lang w:val="zh-TW"/>
        </w:rPr>
        <w:t>三、标准起草的过程简述</w:t>
      </w:r>
    </w:p>
    <w:p w14:paraId="5F74D419">
      <w:pPr>
        <w:framePr w:wrap="auto" w:vAnchor="margin" w:hAnchor="text" w:yAlign="inline"/>
        <w:spacing w:line="360" w:lineRule="auto"/>
        <w:ind w:firstLine="236" w:firstLineChars="98"/>
        <w:rPr>
          <w:rFonts w:ascii="宋体" w:hAnsi="宋体" w:eastAsia="宋体" w:cs="宋体"/>
          <w:b/>
          <w:bCs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</w:t>
      </w:r>
      <w:r>
        <w:rPr>
          <w:rFonts w:ascii="宋体" w:hAnsi="宋体" w:eastAsia="宋体" w:cs="宋体"/>
          <w:b/>
          <w:bCs/>
          <w:sz w:val="24"/>
          <w:szCs w:val="24"/>
          <w:lang w:val="zh-TW"/>
        </w:rPr>
        <w:t>）立项阶段</w:t>
      </w:r>
    </w:p>
    <w:p w14:paraId="304B4FFF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10月，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按照《中国贸促会商业行业委员会关于下达2024年第八批团体标准项目计划的通知》（商贸促字〔202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248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号），中国国际贸易促进委员会商业行业委员会正式立项《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TW"/>
        </w:rPr>
        <w:t>文创产品策划运营管理指南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》团体标准，明确标准的制定范围、主要框架、管理流程、重点内容和工作进度安排。</w:t>
      </w:r>
    </w:p>
    <w:p w14:paraId="5E1EC66C">
      <w:pPr>
        <w:framePr w:wrap="auto" w:vAnchor="margin" w:hAnchor="text" w:yAlign="inline"/>
        <w:spacing w:line="360" w:lineRule="auto"/>
        <w:ind w:firstLine="236" w:firstLineChars="98"/>
        <w:rPr>
          <w:rFonts w:ascii="宋体" w:hAnsi="宋体" w:eastAsia="宋体" w:cs="宋体"/>
          <w:b/>
          <w:bCs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ascii="宋体" w:hAnsi="宋体" w:eastAsia="宋体" w:cs="宋体"/>
          <w:b/>
          <w:bCs/>
          <w:sz w:val="24"/>
          <w:szCs w:val="24"/>
          <w:lang w:val="zh-TW"/>
        </w:rPr>
        <w:t>）预研阶段</w:t>
      </w:r>
    </w:p>
    <w:p w14:paraId="6F890E20">
      <w:pPr>
        <w:framePr w:wrap="auto" w:vAnchor="margin" w:hAnchor="text" w:yAlign="inline"/>
        <w:spacing w:line="360" w:lineRule="auto"/>
        <w:ind w:firstLine="480"/>
        <w:rPr>
          <w:rFonts w:hint="cs" w:ascii="宋体" w:hAnsi="宋体" w:eastAsia="宋体" w:cs="宋体"/>
          <w:color w:val="auto"/>
          <w:sz w:val="24"/>
          <w:szCs w:val="24"/>
        </w:rPr>
      </w:pPr>
      <w:r>
        <w:rPr>
          <w:rFonts w:hint="cs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5</w:t>
      </w:r>
      <w:r>
        <w:rPr>
          <w:rFonts w:hint="cs" w:ascii="宋体" w:hAnsi="宋体" w:eastAsia="宋体" w:cs="宋体"/>
          <w:color w:val="auto"/>
          <w:sz w:val="24"/>
          <w:szCs w:val="24"/>
        </w:rPr>
        <w:t>年，起草组围绕文创产品开发运营实际，系统梳理2025年以来国家关于文化和旅游消费、服务消费扩容、文旅体商融</w:t>
      </w:r>
      <w:bookmarkStart w:id="0" w:name="_GoBack"/>
      <w:bookmarkEnd w:id="0"/>
      <w:r>
        <w:rPr>
          <w:rFonts w:hint="cs" w:ascii="宋体" w:hAnsi="宋体" w:eastAsia="宋体" w:cs="宋体"/>
          <w:color w:val="auto"/>
          <w:sz w:val="24"/>
          <w:szCs w:val="24"/>
        </w:rPr>
        <w:t>合、文博资源开放、数字服务消费、人工智能应用和服务业扩能提质等政策文件，调研文创产品策划、设计、开发、生产、渠道运营、直播电商、用户运营、知识产权保护、数据安全和项目归档等环节的实际需求，分析文创产品策划运营中存在的主要风险点和管理薄弱环节，为标准框架设计和条款编写奠定基础。</w:t>
      </w:r>
    </w:p>
    <w:p w14:paraId="476D2B3E">
      <w:pPr>
        <w:framePr w:wrap="auto" w:vAnchor="margin" w:hAnchor="text" w:yAlign="inline"/>
        <w:spacing w:line="360" w:lineRule="auto"/>
        <w:ind w:firstLine="236" w:firstLineChars="98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/>
        </w:rPr>
        <w:t>（三）起草阶段</w:t>
      </w:r>
    </w:p>
    <w:p w14:paraId="3C33C419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上</w:t>
      </w:r>
      <w:r>
        <w:rPr>
          <w:rFonts w:hint="default" w:ascii="宋体" w:hAnsi="宋体" w:eastAsia="宋体" w:cs="宋体"/>
          <w:color w:val="auto"/>
          <w:sz w:val="24"/>
          <w:szCs w:val="24"/>
        </w:rPr>
        <w:t>半年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，起草组参考GB/T 1.1—2020《标准化工作导则 第1部分：标准化文件的结构和起草规则》，结合文创产品策划运营全过程管理需求，搭建标准框架，形成标准草案。标准起草过程中，围绕术语定义、基本原则、管理职责、流程节点、策划阶段输出、创意设计要求、生产质量控制、运营推广管理、知识产权合规、数据安全、人工智能辅助内容合规、评价改进和档案管理等内容进行多轮研讨和修改完善。</w:t>
      </w:r>
    </w:p>
    <w:p w14:paraId="7B6CD58D">
      <w:pPr>
        <w:framePr w:wrap="auto" w:vAnchor="margin" w:hAnchor="text" w:yAlign="inline"/>
        <w:spacing w:line="360" w:lineRule="auto"/>
        <w:ind w:firstLine="236" w:firstLineChars="98"/>
        <w:rPr>
          <w:rFonts w:ascii="宋体" w:hAnsi="宋体" w:eastAsia="宋体" w:cs="宋体"/>
          <w:b/>
          <w:bCs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sz w:val="24"/>
          <w:szCs w:val="24"/>
          <w:lang w:val="zh-TW"/>
        </w:rPr>
        <w:t>（四）征求意见阶段</w:t>
      </w:r>
    </w:p>
    <w:p w14:paraId="2850AB2C">
      <w:pPr>
        <w:framePr w:wrap="auto" w:vAnchor="margin" w:hAnchor="text" w:yAlign="inline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2026年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default" w:ascii="宋体" w:hAnsi="宋体" w:eastAsia="宋体" w:cs="宋体"/>
          <w:sz w:val="24"/>
          <w:szCs w:val="24"/>
        </w:rPr>
        <w:t>月，形成标准征求意见稿，通过线上线下结合的方式，面向文创产品开发机构、文化文物单位、旅游景区、非遗保护传承机构、行业专家及相关利益方等广泛征求意见，进一步优化标准内容，确保其科学性、合理性和可操作性。</w:t>
      </w:r>
    </w:p>
    <w:p w14:paraId="350636CC">
      <w:pPr>
        <w:framePr w:wrap="auto" w:vAnchor="margin" w:hAnchor="text" w:yAlign="inline"/>
        <w:spacing w:line="360" w:lineRule="auto"/>
        <w:ind w:firstLine="482"/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  <w:t>四、标准的主要内容和依据</w:t>
      </w:r>
    </w:p>
    <w:p w14:paraId="4A70EE99">
      <w:pPr>
        <w:framePr w:wrap="auto" w:vAnchor="margin" w:hAnchor="text" w:yAlign="inline"/>
        <w:spacing w:line="360" w:lineRule="auto"/>
        <w:ind w:firstLine="48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1、</w:t>
      </w:r>
      <w:r>
        <w:rPr>
          <w:rFonts w:ascii="宋体" w:hAnsi="宋体" w:eastAsia="宋体" w:cs="宋体"/>
          <w:color w:val="auto"/>
          <w:sz w:val="24"/>
          <w:szCs w:val="24"/>
          <w:lang w:val="zh-TW"/>
        </w:rPr>
        <w:t>制定原则</w:t>
      </w:r>
    </w:p>
    <w:p w14:paraId="3A726E68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本标准遵循文化价值优先、守正创新、市场导向与用户导向、合规诚信、质量安全与绿色可持续、数字赋能与数据驱动、风险预防与持续改进、协同共创与开放合作的原则，既衔接国家有关文化和旅游消费、服务消费扩容、文博资源开放、数字服务消费和服务业标准化发展的政策要求，又充分结合文创产品策划运营的实际流程和管理需求，兼顾规范性与可操作性、文化性与市场性、创新性与合规性。</w:t>
      </w:r>
    </w:p>
    <w:p w14:paraId="2DD5C994">
      <w:pPr>
        <w:pStyle w:val="10"/>
        <w:numPr>
          <w:ilvl w:val="0"/>
          <w:numId w:val="0"/>
        </w:numPr>
        <w:tabs>
          <w:tab w:val="left" w:pos="312"/>
        </w:tabs>
        <w:spacing w:before="240" w:after="240"/>
      </w:pPr>
      <w:r>
        <w:rPr>
          <w:rFonts w:hint="eastAsia" w:ascii="宋体" w:hAnsi="宋体" w:eastAsia="宋体" w:cs="宋体"/>
          <w:color w:val="FF0000"/>
          <w:sz w:val="24"/>
          <w:szCs w:val="24"/>
          <w:lang w:val="zh-TW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zh-TW"/>
        </w:rPr>
        <w:t xml:space="preserve"> 2、</w:t>
      </w:r>
      <w:r>
        <w:rPr>
          <w:rFonts w:ascii="宋体" w:hAnsi="宋体" w:eastAsia="宋体" w:cs="宋体"/>
          <w:sz w:val="24"/>
          <w:szCs w:val="24"/>
          <w:lang w:val="zh-TW"/>
        </w:rPr>
        <w:t>主要技术内容的说</w:t>
      </w:r>
      <w:r>
        <w:rPr>
          <w:rFonts w:hint="eastAsia" w:ascii="宋体" w:hAnsi="宋体" w:eastAsia="宋体" w:cs="宋体"/>
          <w:sz w:val="24"/>
          <w:szCs w:val="24"/>
          <w:lang w:val="zh-TW"/>
        </w:rPr>
        <w:t>明</w:t>
      </w:r>
    </w:p>
    <w:p w14:paraId="7D831E22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本标准共分为13章及10个资料性附录，主要内容包括：</w:t>
      </w:r>
    </w:p>
    <w:p w14:paraId="2E6284B8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范围：明确标准给出了文创产品策划运营管理的术语和定义、基本原则、管理体系与职责、策划阶段管理、创意设计与开发管理、生产转化与质量控制、运营推广与市场分析、知识产权合规与数据安全、评价与改进、人员能力与培训、记录文件与档案管理等指南，适用于参与文创产品策划运营活动的企事业单位、社会团体、公共文化机构、文化文物单位、旅游景区、非物质文化遗产保护传承机构、数字文化企业、电子商务平台、供应链服务机构、教育培训机构以及其他相关组织。</w:t>
      </w:r>
    </w:p>
    <w:p w14:paraId="5FC20AEB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规范性引用文件：列出标准实施所需引用的相关标准文件，包括GB/T 19001《质量管理体系 要求》、GB/T 22239《信息安全技术 网络安全等级保护基本要求》、GB/T 27922《商品售后服务评价体系》、GB/T 35273《信息安全技术 个人信息安全规范》、GB/T 35411《电子商务平台产品信息展示要求》、GB/T 36309《公共文化资源分类》、GB/T 40483《数字文化企业信用评价指标》、GB/T 43697《数据安全技术 数据分类分级规则》等，为质量管理、信息安全、售后服务、平台展示、公共文化资源分类、数字文化企业信用评价和数据分类分级等内容提供依据。</w:t>
      </w:r>
    </w:p>
    <w:p w14:paraId="2C3474A5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术语和定义：界定文创产品、文创产品策划、文创产品运营管理、文化资源、文化元素、文化转译、文化原真性、情绪价值、功能价值、文化敏感性风险、知识产权授权、用户画像、打样、产品生命周期管理、生成式人工智能辅助内容、全渠道运营等核心术语，统一文创产品策划运营管理活动中的基础概念和使用口径。</w:t>
      </w:r>
    </w:p>
    <w:p w14:paraId="3BDE824B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基本原则：规定文创产品策划运营应遵循文化价值优先、守正创新、市场导向与用户导向、合规诚信、质量安全与绿色可持续、数字赋能与数据驱动、风险预防与持续改进、协同共创与开放合作等原则，引导组织在文创产品开发运营中兼顾文化价值、市场价值、质量安全、合规风险和持续改进。</w:t>
      </w:r>
    </w:p>
    <w:p w14:paraId="39722478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管理体系与职责：规定组织宜建立文创产品策划运营管理体系，将文化价值、用户价值、质量安全、知识产权、数据安全、合规经营和持续改进纳入统一管理；明确项目负责人、文化内容负责人、创意设计负责人、生产与质量负责人、运营与市场负责人、知识产权与合规负责人、数据安全负责人等主要角色职责；设置G0机会识别、G1立项决策、G2策划评审、G3设计评审、G4打样评审、G5量产/上线评审、G6运营复盘等里程碑节点，提高项目管理的程序化和可追溯性。</w:t>
      </w:r>
    </w:p>
    <w:p w14:paraId="2C07FB62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策划阶段管理：规定项目立项、文化资源采集与文化元素提炼、用户调研与市场分析、产品定位与产品组合、文化叙事与转译方案、IP开发与授权策划、风险评估、策划阶段输出等内容，引导组织在产品开发前完成文化资源合法性、市场需求、用户画像、授权边界、风险控制和设计任务书等前期准备。</w:t>
      </w:r>
    </w:p>
    <w:p w14:paraId="04D139E5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创意设计与开发管理：规定设计输入、元素选取与创意构思、方案设计、数字化设计与生成式人工智能辅助、包装与产品信息、设计评审与变更管理、设计开发输出等内容，重点规范文化元素使用方式、设计方案形成、数字工具辅助、生成式人工智能内容留痕、包装信息真实性和设计变更控制。</w:t>
      </w:r>
    </w:p>
    <w:p w14:paraId="3DD075DE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生产转化与质量控制：规定供应商管理、材料与工艺控制、打样管理、质量标准与检验、量产与交付、入库仓储与物流、不合格品与异常处理、生产阶段输出等内容，推动组织建立从打样验证到量产交付的质量控制和批次追溯机制。</w:t>
      </w:r>
    </w:p>
    <w:p w14:paraId="7F59CE2A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运营推广与市场分析：规定运营计划、渠道管理、内容营销与文化传播、用户运营、活动与空间体验运营、直播与社交媒体运营、跨文化与国际传播、售后服务与投诉处理、数据监测与市场分析、运营阶段输出等内容，适应文创产品线上线下融合、全渠道运营、内容传播、空间体验和国际传播的发展需要。</w:t>
      </w:r>
    </w:p>
    <w:p w14:paraId="0838865F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知识产权、合规与数据安全：规定合规管理框架、知识产权确权与授权、合同与商业秘密、广告电商与消费者权益、个人信息与数据安全、人工智能生成合成内容合规、文化敏感性与伦理审查、舆情与应急管理、合规阶段输出等内容，强化文创产品策划运营全过程的合规审查和风险防控。</w:t>
      </w:r>
    </w:p>
    <w:p w14:paraId="21955198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评价与改进：规定组织宜建立文创产品策划运营评价体系，从文化价值、市场表现、用户体验、质量安全、合规与风险、可持续发展等维度开展评价，采用评分法、等级法、目标达成法、对标分析法、用户研究、专家评审、A/B测试、ROI分析、舆情分析和复盘会议等方法形成改进闭环。</w:t>
      </w:r>
    </w:p>
    <w:p w14:paraId="725CA111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人员能力与培训：规定参与文创产品策划运营的人员宜具备文化资源理解、用户洞察、创意表达、产品设计、生产转化、营销运营、数据分析、知识产权、合规审查、项目管理和跨文化沟通等能力，并对内部人员和外部合作方培训提出要求。</w:t>
      </w:r>
    </w:p>
    <w:p w14:paraId="3C74A3E8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记录、文件与档案管理：规定组织应对项目全过程记录、合同文件、设计文件、质量文件、运营数据、用户反馈和合规记录进行分类、编号、归档、保存和检索，确保授权、审稿、质量检验、数据处理、用户投诉、重大风险和召回等记录具有可追溯性。</w:t>
      </w:r>
    </w:p>
    <w:p w14:paraId="13AE50D1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附录A：给出文创产品策划运营管理流程，为组织开展机会识别、项目立项、文化与用户研究、策划评审、创意设计、打样验证、生产/上线、运营推广、评价改进等工作提供流程参考。</w:t>
      </w:r>
    </w:p>
    <w:p w14:paraId="3280719B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附录B：给出文化内容挖掘与用户调研需求分析表，为文化载体识别、元素提取、深度开发要求、核心用户画像、调研重点指标、调研方式和交付成果提供表单化工具。</w:t>
      </w:r>
    </w:p>
    <w:p w14:paraId="59DE660F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附录C：给出文化元素库信息著录表，为文化元素编号、名称、来源类型、来源说明、图像文本音视频、核心特征、文化寓意、权属与授权、敏感性提示、适用产品、应用记录和维护记录提供统一著录格式。</w:t>
      </w:r>
    </w:p>
    <w:p w14:paraId="14DF2F4D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附录D：给出文创产品策划方案模板，为项目概况、文化资源说明、用户与市场分析、产品定位、产品组合、创意方向、IP与授权、风险评估、预算计划和交付成果等内容提供参考模板。</w:t>
      </w:r>
    </w:p>
    <w:p w14:paraId="25A2A87B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附录E：给出IP开发与授权合规审核表，为权属检索、授权主体、授权范围、合同条款、素材使用、审稿流程、收益分配、违约责任和终止处理等事项提供审核工具。</w:t>
      </w:r>
    </w:p>
    <w:p w14:paraId="13190006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附录F：给出文创产品开发风险评估表，为文化敏感性、知识产权、市场接受度、成本控制、供应链、质量安全、广告电商合规、数据安全、人工智能应用、未成年人保护、舆情和应急保障等风险识别提供参考。</w:t>
      </w:r>
    </w:p>
    <w:p w14:paraId="70833298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附录G：给出打样、量产与入库验收记录表，为样品确认、工艺验证、质量检验、量产准备、入库验收、不合格品处理和批次追溯提供记录工具。</w:t>
      </w:r>
    </w:p>
    <w:p w14:paraId="5C310840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附录H：给出文创产品运营推广KPI指标体系，为曝光、点击、转化、成交、复购、库存、毛利、活动参与、文化传播、用户反馈、舆情和投入产出比等运营指标提供参考。</w:t>
      </w:r>
    </w:p>
    <w:p w14:paraId="1EBF5883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附录I：给出数据与人工智能应用合规检查表，为数据分类分级、个人信息保护、生成式人工智能辅助内容、内容审核、标识要求、日志留存、数据出境或跨境使用等事项提供检查工具。</w:t>
      </w:r>
    </w:p>
    <w:p w14:paraId="64A7391F">
      <w:pPr>
        <w:pStyle w:val="11"/>
        <w:spacing w:line="360" w:lineRule="auto"/>
        <w:ind w:firstLine="480"/>
        <w:rPr>
          <w:rFonts w:hint="cs" w:hAnsi="宋体" w:cs="宋体"/>
          <w:kern w:val="2"/>
          <w:sz w:val="24"/>
          <w:szCs w:val="24"/>
          <w:u w:color="000000"/>
          <w:lang w:val="zh-TW"/>
        </w:rPr>
      </w:pPr>
      <w:r>
        <w:rPr>
          <w:rFonts w:hint="cs" w:hAnsi="宋体" w:cs="宋体"/>
          <w:kern w:val="2"/>
          <w:sz w:val="24"/>
          <w:szCs w:val="24"/>
          <w:u w:color="000000"/>
          <w:lang w:val="zh-TW"/>
        </w:rPr>
        <w:t>附录J：给出项目交付物与档案归档清单，为项目结束时形成归档清单、结项报告、运营复盘报告和知识产权、合规、质量、财务关闭确认等提供依据。</w:t>
      </w:r>
    </w:p>
    <w:p w14:paraId="794FA40F">
      <w:pPr>
        <w:pStyle w:val="11"/>
        <w:spacing w:line="360" w:lineRule="auto"/>
        <w:ind w:firstLine="480"/>
        <w:rPr>
          <w:rFonts w:hint="eastAsia" w:hAnsi="宋体" w:cs="宋体"/>
          <w:kern w:val="2"/>
          <w:sz w:val="24"/>
          <w:szCs w:val="24"/>
          <w:u w:color="000000"/>
          <w:lang w:val="en-US" w:eastAsia="zh-CN"/>
        </w:rPr>
      </w:pPr>
      <w:r>
        <w:rPr>
          <w:rFonts w:hint="eastAsia" w:hAnsi="宋体" w:cs="宋体"/>
          <w:kern w:val="2"/>
          <w:sz w:val="24"/>
          <w:szCs w:val="24"/>
          <w:u w:color="000000"/>
          <w:lang w:val="en-US" w:eastAsia="zh-CN"/>
        </w:rPr>
        <w:t>3、编写依据</w:t>
      </w:r>
    </w:p>
    <w:p w14:paraId="61F2851E">
      <w:pPr>
        <w:pStyle w:val="11"/>
        <w:spacing w:line="360" w:lineRule="auto"/>
        <w:ind w:firstLine="480"/>
        <w:rPr>
          <w:rFonts w:hint="default" w:hAnsi="宋体" w:cs="宋体"/>
          <w:kern w:val="2"/>
          <w:sz w:val="24"/>
          <w:szCs w:val="24"/>
          <w:u w:color="000000"/>
          <w:lang w:val="en-US" w:eastAsia="zh-CN"/>
        </w:rPr>
      </w:pPr>
      <w:r>
        <w:rPr>
          <w:rFonts w:hint="default" w:hAnsi="宋体" w:cs="宋体"/>
          <w:kern w:val="2"/>
          <w:sz w:val="24"/>
          <w:szCs w:val="24"/>
          <w:u w:color="000000"/>
          <w:lang w:val="en-US" w:eastAsia="zh-CN"/>
        </w:rPr>
        <w:t>本标准严格遵循GB/T 1.1—2020《标准化工作导则 第1部分：标准化文件的结构和起草规则》编制，主要依据《中华人民共和国国民经济和社会发展第十五个五年规划纲要》《关于进一步培育新增长点繁荣文化和旅游消费的若干措施》《提振消费专项行动方案》《文化和旅游部办公厅关于组织开展2025年全国文化和旅游消费促进活动的通知》《关于扩大服务消费的若干政策措施》《国务院关于推进服务业扩能提质的意见》等2025年、2026年政策文件，参考GB/T 19001《质量管理体系 要求》、GB/T 22239《信息安全技术 网络安全等级保护基本要求》、GB/T 27922《商品售后服务评价体系》、GB/T 35273《信息安全技术 个人信息安全规范》、GB/T 35411《电子商务平台产品信息展示要求》、GB/T 36309《公共文化资源分类》、GB/T 40483《数字文化企业信用评价指标》、GB/T 43697《数据安全技术 数据分类分级规则》等相关国家标准，结合文创产品策划运营管理实际编制而成。</w:t>
      </w:r>
    </w:p>
    <w:p w14:paraId="6E2B2166">
      <w:pPr>
        <w:framePr w:wrap="auto" w:vAnchor="margin" w:hAnchor="text" w:yAlign="inline"/>
        <w:spacing w:line="360" w:lineRule="auto"/>
        <w:ind w:firstLine="482"/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  <w:t>五、标准的水平</w:t>
      </w:r>
    </w:p>
    <w:p w14:paraId="1FACB7AB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zh-TW" w:eastAsia="zh-CN"/>
        </w:rPr>
      </w:pPr>
      <w:r>
        <w:rPr>
          <w:rFonts w:hint="eastAsia" w:ascii="宋体" w:hAnsi="宋体" w:eastAsia="宋体" w:cs="宋体"/>
          <w:sz w:val="24"/>
          <w:szCs w:val="24"/>
          <w:lang w:val="zh-TW" w:eastAsia="zh-CN"/>
        </w:rPr>
        <w:t>本标准围绕文创产品策划运营管理工作，建立了较为完整的全过程管理框架，将文化资源挖掘、文化元素提炼、用户调研、产品定位、创意设计、生产转化、质量控制、渠道运营、内容传播、知识产权管理、数据安全、人工智能辅助应用、评价改进和档案管理等内容纳入统一管理范围，形成了涵盖基本原则、职责分工、流程节点、阶段输出、风险控制、评价指标和配套表单的系统性标准文件，具有较强的科学性、系统性和可操作性。</w:t>
      </w:r>
    </w:p>
    <w:p w14:paraId="1BA1386B">
      <w:pPr>
        <w:framePr w:wrap="auto" w:vAnchor="margin" w:hAnchor="text" w:yAlign="inline"/>
        <w:spacing w:line="360" w:lineRule="auto"/>
        <w:ind w:firstLine="482"/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  <w:t>六、与有关的现行法律、法规和强制性国家标准的关系</w:t>
      </w:r>
    </w:p>
    <w:p w14:paraId="0A1206D7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zh-TW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本标准符合《中华人民共和国标准化法》的有关要求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 w:eastAsia="zh-CN"/>
        </w:rPr>
        <w:t>，并</w:t>
      </w:r>
      <w:r>
        <w:rPr>
          <w:rFonts w:hint="eastAsia" w:ascii="宋体" w:hAnsi="宋体" w:eastAsia="宋体" w:cs="宋体"/>
          <w:color w:val="auto"/>
          <w:sz w:val="24"/>
          <w:szCs w:val="24"/>
          <w:lang w:val="zh-TW"/>
        </w:rPr>
        <w:t>与GB/T 19001《质量管理体系 要求》、GB/T 22239《信息安全技术 网络安全等级保护基本要求》、GB/T 27922《商品售后服务评价体系》、GB/T 35273《信息安全技术 个人信息安全规范》、GB/T 35411《电子商务平台产品信息展示要求》、GB/T 36309《公共文化资源分类》、GB/T 40483《数字文化企业信用评价指标》、GB/T 43697《数据安全技术 数据分类分级规则》等相关国家标准保持一致，无冲突与抵触。标准的发布实施，将进一步推动相关法律法规和标准要求在文创产品策划运营、知识产权保护、质量控制、数据安全、人工智能辅助应用和持续改进等环节落地应用。</w:t>
      </w:r>
    </w:p>
    <w:p w14:paraId="3A6D7457">
      <w:pPr>
        <w:framePr w:wrap="auto" w:vAnchor="margin" w:hAnchor="text" w:yAlign="inline"/>
        <w:spacing w:line="360" w:lineRule="auto"/>
        <w:ind w:firstLine="482"/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  <w:t>七、贯彻标准的要求和措施建议</w:t>
      </w:r>
    </w:p>
    <w:p w14:paraId="2541177F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加强宣贯培训：标准发布后，建议由归口单位会同起草单位，通过专题培训、标准解读、行业会议、线上宣贯等形式，面向文创产品开发机构、公共文化机构、文化文物单位、旅游景区、非遗保护传承机构、数字文化企业、电子商务平台、供应链服务机构、教育培训机构及相关从业人员开展标准宣贯，提升相关主体对标准内容和实施要求的理解。</w:t>
      </w:r>
    </w:p>
    <w:p w14:paraId="1F055A06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开展试点应用：建议选择不同类型、不同区域、不同业务规模的文创产品项目开展试点应用，检验文化资源采集、文化元素库建设、策划方案编制、IP授权审核、打样量产验收、运营推广KPI、数据与人工智能应用合规检查、项目档案归档等内容的适用性。</w:t>
      </w:r>
    </w:p>
    <w:p w14:paraId="470DEE5E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完善配套工具：鼓励相关组织结合自身业务特点，将标准中的资料性附录转化为内部管理表单、项目流程模板、岗位操作规程、培训教材和案例库，提升标准实施的便利性和落地效果。</w:t>
      </w:r>
    </w:p>
    <w:p w14:paraId="2561FF1E">
      <w:pPr>
        <w:framePr w:wrap="auto" w:vAnchor="margin" w:hAnchor="text" w:yAlign="inline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val="zh-TW"/>
        </w:rPr>
      </w:pPr>
      <w:r>
        <w:rPr>
          <w:rFonts w:hint="eastAsia" w:ascii="宋体" w:hAnsi="宋体" w:eastAsia="宋体" w:cs="宋体"/>
          <w:sz w:val="24"/>
          <w:szCs w:val="24"/>
          <w:lang w:val="zh-TW"/>
        </w:rPr>
        <w:t>强化动态改进：建议根据文创产品业态变化、数字技术发展、人工智能应用监管要求、文旅消费政策变化和标准实施反馈，适时开展标准复审和修订，持续提升标准的适用性、先进性和指导性。</w:t>
      </w:r>
    </w:p>
    <w:p w14:paraId="01F17E73">
      <w:pPr>
        <w:framePr w:wrap="auto" w:vAnchor="margin" w:hAnchor="text" w:yAlign="inline"/>
        <w:spacing w:line="360" w:lineRule="auto"/>
        <w:ind w:firstLine="482"/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zh-TW"/>
        </w:rPr>
        <w:t>八、标准实施的预期效果</w:t>
      </w:r>
    </w:p>
    <w:p w14:paraId="001631C8">
      <w:pPr>
        <w:framePr w:wrap="auto" w:vAnchor="margin" w:hAnchor="text" w:yAlign="inline"/>
        <w:spacing w:line="360" w:lineRule="auto"/>
        <w:ind w:firstLine="480"/>
        <w:rPr>
          <w:rFonts w:hint="default"/>
          <w:color w:val="FF0000"/>
        </w:rPr>
      </w:pPr>
      <w:r>
        <w:rPr>
          <w:rFonts w:hint="cs" w:ascii="宋体" w:hAnsi="宋体" w:eastAsia="宋体" w:cs="宋体"/>
          <w:color w:val="auto"/>
          <w:sz w:val="24"/>
          <w:szCs w:val="24"/>
          <w:lang w:val="zh-TW" w:eastAsia="zh-TW"/>
        </w:rPr>
        <w:t>本标准实施后，将有效规范文创产品策划运营管理活动，提升文创产品从文化资源挖掘、创意设计、生产转化、质量控制到运营推广、合规审查、评价改进和档案管理的全过程管理水平；有助于提升文创产品文化表达的准确性、尊重性和可解释性，降低文化敏感性、知识产权、广告宣传、数据安全和人工智能辅助内容应用等方面的风险；有助于推动公共文化资源、文博资源、非遗资源、地域文化资源和数字文化资源向高质量文创产品、数字产品、体验服务和消费场景转化。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851" w:footer="992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69D24">
    <w:pPr>
      <w:pStyle w:val="4"/>
      <w:framePr w:wrap="auto" w:vAnchor="margin" w:hAnchor="text" w:yAlign="inline"/>
      <w:tabs>
        <w:tab w:val="right" w:pos="8280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DFB5F">
    <w:pPr>
      <w:pStyle w:val="4"/>
      <w:framePr w:wrap="auto" w:vAnchor="margin" w:hAnchor="text" w:yAlign="inline"/>
      <w:tabs>
        <w:tab w:val="right" w:pos="8280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2DC37">
    <w:pPr>
      <w:pStyle w:val="13"/>
      <w:framePr w:wrap="auto" w:vAnchor="margin" w:hAnchor="text" w:yAlign="inline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46ACB86">
                          <w:pPr>
                            <w:pStyle w:val="4"/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95.35pt;margin-top:774.3pt;height:10.35pt;width:4.55pt;mso-position-horizontal-relative:page;mso-position-vertical-relative:page;z-index:-251657216;mso-width-relative:page;mso-height-relative:page;" filled="f" stroked="f" coordsize="21600,21600" o:gfxdata="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VBjaAAAADQEAAA8AAAAAAAAAAQAgAAAAIgAAAGRy&#10;cy9kb3ducmV2LnhtbFBLAQIUABQAAAAIAIdO4kBoGCiJAwIAAPUDAAAOAAAAAAAAAAEAIAAAACkB&#10;AABkcnMvZTJvRG9jLnhtbFBLBQYAAAAABgAGAFkBAACe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146ACB86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526DE">
    <w:pPr>
      <w:pStyle w:val="13"/>
      <w:framePr w:wrap="auto" w:vAnchor="margin" w:hAnchor="text" w:yAlign="inline"/>
    </w:pP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9833610</wp:posOffset>
              </wp:positionV>
              <wp:extent cx="57785" cy="131445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AD0BF4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1" type="#_x0000_t202" style="position:absolute;left:0pt;margin-left:295.35pt;margin-top:774.3pt;height:10.35pt;width:4.55pt;mso-position-horizontal-relative:page;mso-position-vertical-relative:page;z-index:-251656192;mso-width-relative:page;mso-height-relative:page;" filled="f" stroked="f" coordsize="21600,21600" o:gfxdata="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JU1QY2gAAAA0BAAAPAAAAAAAAAAEAIAAA&#10;ACIAAABkcnMvZG93bnJldi54bWxQSwECFAAUAAAACACHTuJA98QOIAoCAAD+AwAADgAAAAAAAAAB&#10;ACAAAAApAQAAZHJzL2Uyb0RvYy54bWxQSwUGAAAAAAYABgBZAQAApQUAAAAA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 w14:paraId="2AD0BF4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42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8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7C542B2"/>
    <w:multiLevelType w:val="multilevel"/>
    <w:tmpl w:val="37C542B2"/>
    <w:lvl w:ilvl="0" w:tentative="0">
      <w:start w:val="1"/>
      <w:numFmt w:val="japaneseCounting"/>
      <w:lvlText w:val="%1、"/>
      <w:lvlJc w:val="left"/>
      <w:pPr>
        <w:ind w:left="992" w:hanging="510"/>
      </w:pPr>
      <w:rPr>
        <w:rFonts w:hint="default" w:eastAsia="宋体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mFhOTEwOTA4M2RhMmU1NGE4Zjg4ZmY1NTkwZWFmMjUifQ=="/>
  </w:docVars>
  <w:rsids>
    <w:rsidRoot w:val="001C1971"/>
    <w:rsid w:val="0000007A"/>
    <w:rsid w:val="00001B5B"/>
    <w:rsid w:val="00010B53"/>
    <w:rsid w:val="000117FA"/>
    <w:rsid w:val="00015ECA"/>
    <w:rsid w:val="00021F88"/>
    <w:rsid w:val="00023AB0"/>
    <w:rsid w:val="00035B6D"/>
    <w:rsid w:val="00037A2E"/>
    <w:rsid w:val="00050AEC"/>
    <w:rsid w:val="00082FF1"/>
    <w:rsid w:val="00084859"/>
    <w:rsid w:val="000905AB"/>
    <w:rsid w:val="00094129"/>
    <w:rsid w:val="000B3167"/>
    <w:rsid w:val="000C006E"/>
    <w:rsid w:val="000F45D3"/>
    <w:rsid w:val="000F71FA"/>
    <w:rsid w:val="00102875"/>
    <w:rsid w:val="00136DC2"/>
    <w:rsid w:val="001445DA"/>
    <w:rsid w:val="001C1971"/>
    <w:rsid w:val="00204F84"/>
    <w:rsid w:val="00215DD7"/>
    <w:rsid w:val="00237697"/>
    <w:rsid w:val="002512F2"/>
    <w:rsid w:val="00264B72"/>
    <w:rsid w:val="002663D9"/>
    <w:rsid w:val="002665EC"/>
    <w:rsid w:val="0028709D"/>
    <w:rsid w:val="00295751"/>
    <w:rsid w:val="002B4CE6"/>
    <w:rsid w:val="002D4343"/>
    <w:rsid w:val="002F0B8B"/>
    <w:rsid w:val="002F3AA6"/>
    <w:rsid w:val="002F3F3E"/>
    <w:rsid w:val="0030564F"/>
    <w:rsid w:val="0031319C"/>
    <w:rsid w:val="0035380E"/>
    <w:rsid w:val="00377697"/>
    <w:rsid w:val="00391E44"/>
    <w:rsid w:val="00392AF6"/>
    <w:rsid w:val="0039677A"/>
    <w:rsid w:val="003A0FD7"/>
    <w:rsid w:val="003B30F9"/>
    <w:rsid w:val="003C6F12"/>
    <w:rsid w:val="003D652D"/>
    <w:rsid w:val="004005B0"/>
    <w:rsid w:val="004240F0"/>
    <w:rsid w:val="00435909"/>
    <w:rsid w:val="00453F8D"/>
    <w:rsid w:val="004B46F1"/>
    <w:rsid w:val="004B56C3"/>
    <w:rsid w:val="004D05EE"/>
    <w:rsid w:val="004D285A"/>
    <w:rsid w:val="00525B9B"/>
    <w:rsid w:val="00546C9F"/>
    <w:rsid w:val="00550AA3"/>
    <w:rsid w:val="00555768"/>
    <w:rsid w:val="0059365C"/>
    <w:rsid w:val="005A6EF5"/>
    <w:rsid w:val="005B13B2"/>
    <w:rsid w:val="005F7B08"/>
    <w:rsid w:val="00605F70"/>
    <w:rsid w:val="006123BD"/>
    <w:rsid w:val="00647AAD"/>
    <w:rsid w:val="00666AC0"/>
    <w:rsid w:val="00695C8A"/>
    <w:rsid w:val="006A4054"/>
    <w:rsid w:val="006A5904"/>
    <w:rsid w:val="006C3335"/>
    <w:rsid w:val="006D28E6"/>
    <w:rsid w:val="006E4EB5"/>
    <w:rsid w:val="006E7F2E"/>
    <w:rsid w:val="00713B38"/>
    <w:rsid w:val="00716D2A"/>
    <w:rsid w:val="007205D4"/>
    <w:rsid w:val="00720891"/>
    <w:rsid w:val="00753EC9"/>
    <w:rsid w:val="00791143"/>
    <w:rsid w:val="007A6EC1"/>
    <w:rsid w:val="007C78B9"/>
    <w:rsid w:val="007D7840"/>
    <w:rsid w:val="007F7367"/>
    <w:rsid w:val="00844A75"/>
    <w:rsid w:val="00852083"/>
    <w:rsid w:val="00872310"/>
    <w:rsid w:val="008A1E38"/>
    <w:rsid w:val="008D1A07"/>
    <w:rsid w:val="008E73B2"/>
    <w:rsid w:val="00903D18"/>
    <w:rsid w:val="009078BB"/>
    <w:rsid w:val="0092426D"/>
    <w:rsid w:val="0092709E"/>
    <w:rsid w:val="00951C47"/>
    <w:rsid w:val="00954AFB"/>
    <w:rsid w:val="009618BF"/>
    <w:rsid w:val="0096218D"/>
    <w:rsid w:val="00964B16"/>
    <w:rsid w:val="009936AB"/>
    <w:rsid w:val="009A2906"/>
    <w:rsid w:val="009A514C"/>
    <w:rsid w:val="009B4725"/>
    <w:rsid w:val="009C08DA"/>
    <w:rsid w:val="009C333D"/>
    <w:rsid w:val="009D2E05"/>
    <w:rsid w:val="009F19C0"/>
    <w:rsid w:val="00A14861"/>
    <w:rsid w:val="00A22E73"/>
    <w:rsid w:val="00A329F7"/>
    <w:rsid w:val="00A369F1"/>
    <w:rsid w:val="00A56255"/>
    <w:rsid w:val="00A7221A"/>
    <w:rsid w:val="00A72D65"/>
    <w:rsid w:val="00A76DB0"/>
    <w:rsid w:val="00AE5E92"/>
    <w:rsid w:val="00B0520A"/>
    <w:rsid w:val="00B06E28"/>
    <w:rsid w:val="00B154D0"/>
    <w:rsid w:val="00B33BF1"/>
    <w:rsid w:val="00B3497B"/>
    <w:rsid w:val="00B45AE7"/>
    <w:rsid w:val="00B5017B"/>
    <w:rsid w:val="00C01246"/>
    <w:rsid w:val="00C149D5"/>
    <w:rsid w:val="00C223EE"/>
    <w:rsid w:val="00C50B12"/>
    <w:rsid w:val="00C731C6"/>
    <w:rsid w:val="00C870A4"/>
    <w:rsid w:val="00C923B3"/>
    <w:rsid w:val="00CD3464"/>
    <w:rsid w:val="00CE51C9"/>
    <w:rsid w:val="00D20D5B"/>
    <w:rsid w:val="00D418D7"/>
    <w:rsid w:val="00D42091"/>
    <w:rsid w:val="00D42375"/>
    <w:rsid w:val="00D92B72"/>
    <w:rsid w:val="00D92D8A"/>
    <w:rsid w:val="00D9431E"/>
    <w:rsid w:val="00DA1793"/>
    <w:rsid w:val="00DB3344"/>
    <w:rsid w:val="00DC0655"/>
    <w:rsid w:val="00DD1545"/>
    <w:rsid w:val="00DF5A59"/>
    <w:rsid w:val="00E045F4"/>
    <w:rsid w:val="00E20101"/>
    <w:rsid w:val="00E21072"/>
    <w:rsid w:val="00E223F5"/>
    <w:rsid w:val="00E42EA4"/>
    <w:rsid w:val="00E476F5"/>
    <w:rsid w:val="00E66352"/>
    <w:rsid w:val="00E86919"/>
    <w:rsid w:val="00E95A59"/>
    <w:rsid w:val="00EA0E6F"/>
    <w:rsid w:val="00EA45A0"/>
    <w:rsid w:val="00EB7D2E"/>
    <w:rsid w:val="00ED4542"/>
    <w:rsid w:val="00ED6663"/>
    <w:rsid w:val="00EE0D56"/>
    <w:rsid w:val="00EE2BFC"/>
    <w:rsid w:val="00EF578C"/>
    <w:rsid w:val="00F06039"/>
    <w:rsid w:val="00F10349"/>
    <w:rsid w:val="00F379DE"/>
    <w:rsid w:val="00F4411B"/>
    <w:rsid w:val="00F52EE6"/>
    <w:rsid w:val="00F60ACD"/>
    <w:rsid w:val="00F707BF"/>
    <w:rsid w:val="00F770A2"/>
    <w:rsid w:val="00F91175"/>
    <w:rsid w:val="00F92653"/>
    <w:rsid w:val="00FB455B"/>
    <w:rsid w:val="02F50C20"/>
    <w:rsid w:val="03864CD3"/>
    <w:rsid w:val="05D16C32"/>
    <w:rsid w:val="062D0592"/>
    <w:rsid w:val="065007B6"/>
    <w:rsid w:val="06907B34"/>
    <w:rsid w:val="06B036DE"/>
    <w:rsid w:val="070A4300"/>
    <w:rsid w:val="07844F83"/>
    <w:rsid w:val="0A516F86"/>
    <w:rsid w:val="0ACD29B8"/>
    <w:rsid w:val="0C6B2020"/>
    <w:rsid w:val="0CAF268A"/>
    <w:rsid w:val="0CEF76F2"/>
    <w:rsid w:val="0D7A2C98"/>
    <w:rsid w:val="0E7C495A"/>
    <w:rsid w:val="104A2792"/>
    <w:rsid w:val="10B034E5"/>
    <w:rsid w:val="11813F2D"/>
    <w:rsid w:val="11C37011"/>
    <w:rsid w:val="137912FC"/>
    <w:rsid w:val="152B6DE9"/>
    <w:rsid w:val="167B7F56"/>
    <w:rsid w:val="18D72D4C"/>
    <w:rsid w:val="18E60853"/>
    <w:rsid w:val="1AAE793C"/>
    <w:rsid w:val="1B851185"/>
    <w:rsid w:val="1C7114D7"/>
    <w:rsid w:val="1D0F3B8F"/>
    <w:rsid w:val="1D1F2F14"/>
    <w:rsid w:val="1D8B05A9"/>
    <w:rsid w:val="1E8B53C7"/>
    <w:rsid w:val="1E8D27EC"/>
    <w:rsid w:val="1EFD1033"/>
    <w:rsid w:val="211A46D4"/>
    <w:rsid w:val="21940426"/>
    <w:rsid w:val="21BB4785"/>
    <w:rsid w:val="21CA48AF"/>
    <w:rsid w:val="239D4B92"/>
    <w:rsid w:val="239E544A"/>
    <w:rsid w:val="249C4E4A"/>
    <w:rsid w:val="24AC5E86"/>
    <w:rsid w:val="250903E9"/>
    <w:rsid w:val="25215D4A"/>
    <w:rsid w:val="26F176CF"/>
    <w:rsid w:val="27223D2C"/>
    <w:rsid w:val="2A526D38"/>
    <w:rsid w:val="2CAA2BF1"/>
    <w:rsid w:val="2CD21EE0"/>
    <w:rsid w:val="2DCD4F31"/>
    <w:rsid w:val="2DD66AA1"/>
    <w:rsid w:val="2EBE2D7F"/>
    <w:rsid w:val="2F294924"/>
    <w:rsid w:val="2FC067ED"/>
    <w:rsid w:val="31886F99"/>
    <w:rsid w:val="31C81974"/>
    <w:rsid w:val="33E81BD5"/>
    <w:rsid w:val="34C5283E"/>
    <w:rsid w:val="355B0433"/>
    <w:rsid w:val="3628761B"/>
    <w:rsid w:val="369F29ED"/>
    <w:rsid w:val="386A108F"/>
    <w:rsid w:val="38FD1F3E"/>
    <w:rsid w:val="39685D00"/>
    <w:rsid w:val="3A75788D"/>
    <w:rsid w:val="3AF91BBF"/>
    <w:rsid w:val="3B7A0F8F"/>
    <w:rsid w:val="3D9910E3"/>
    <w:rsid w:val="3E2A0839"/>
    <w:rsid w:val="3F6C00D9"/>
    <w:rsid w:val="419454B5"/>
    <w:rsid w:val="43823F58"/>
    <w:rsid w:val="43A07649"/>
    <w:rsid w:val="478E2BCC"/>
    <w:rsid w:val="48160ED6"/>
    <w:rsid w:val="48580610"/>
    <w:rsid w:val="485E04E5"/>
    <w:rsid w:val="488A4EC3"/>
    <w:rsid w:val="48B87E46"/>
    <w:rsid w:val="4AF113A3"/>
    <w:rsid w:val="4C5F21E2"/>
    <w:rsid w:val="4C6C37B1"/>
    <w:rsid w:val="5038161B"/>
    <w:rsid w:val="506E7FDD"/>
    <w:rsid w:val="52312B91"/>
    <w:rsid w:val="536C2A87"/>
    <w:rsid w:val="53E3171A"/>
    <w:rsid w:val="5452177E"/>
    <w:rsid w:val="55454AA2"/>
    <w:rsid w:val="556E3DBC"/>
    <w:rsid w:val="55FA40F2"/>
    <w:rsid w:val="5A796958"/>
    <w:rsid w:val="5AC06077"/>
    <w:rsid w:val="5C541EA5"/>
    <w:rsid w:val="5DD1318C"/>
    <w:rsid w:val="5DF37E23"/>
    <w:rsid w:val="619C2EE1"/>
    <w:rsid w:val="6280132C"/>
    <w:rsid w:val="62A274F4"/>
    <w:rsid w:val="63B36F9D"/>
    <w:rsid w:val="64C80818"/>
    <w:rsid w:val="64DB13F3"/>
    <w:rsid w:val="660D7ED2"/>
    <w:rsid w:val="66537C45"/>
    <w:rsid w:val="68C335E9"/>
    <w:rsid w:val="69690D46"/>
    <w:rsid w:val="69881641"/>
    <w:rsid w:val="69CB4084"/>
    <w:rsid w:val="6A5769E5"/>
    <w:rsid w:val="6A8E20F3"/>
    <w:rsid w:val="6B421F06"/>
    <w:rsid w:val="6BA43AA1"/>
    <w:rsid w:val="6BCC3967"/>
    <w:rsid w:val="6BE160DB"/>
    <w:rsid w:val="6D1C60F5"/>
    <w:rsid w:val="6ED0700C"/>
    <w:rsid w:val="6FA02888"/>
    <w:rsid w:val="7036645C"/>
    <w:rsid w:val="70D2136A"/>
    <w:rsid w:val="70DC7322"/>
    <w:rsid w:val="7214383E"/>
    <w:rsid w:val="725E2B5B"/>
    <w:rsid w:val="72681F13"/>
    <w:rsid w:val="72806927"/>
    <w:rsid w:val="73033BF3"/>
    <w:rsid w:val="732641A0"/>
    <w:rsid w:val="73CA1308"/>
    <w:rsid w:val="78F86E3B"/>
    <w:rsid w:val="791974F6"/>
    <w:rsid w:val="79E5228B"/>
    <w:rsid w:val="7BE256C8"/>
    <w:rsid w:val="7C127147"/>
    <w:rsid w:val="7C6A0D04"/>
    <w:rsid w:val="7DDB6D31"/>
    <w:rsid w:val="7E0F7090"/>
    <w:rsid w:val="7E3F1E86"/>
    <w:rsid w:val="7E860185"/>
    <w:rsid w:val="7F267ABD"/>
    <w:rsid w:val="7F64085D"/>
    <w:rsid w:val="7FC8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link w:val="15"/>
    <w:qFormat/>
    <w:uiPriority w:val="0"/>
    <w:pPr>
      <w:framePr w:wrap="around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framePr w:wrap="around"/>
    </w:pPr>
    <w:rPr>
      <w:sz w:val="24"/>
    </w:rPr>
  </w:style>
  <w:style w:type="character" w:styleId="9">
    <w:name w:val="Hyperlink"/>
    <w:qFormat/>
    <w:uiPriority w:val="0"/>
    <w:rPr>
      <w:u w:val="single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4">
    <w:name w:val="列出段落1"/>
    <w:qFormat/>
    <w:uiPriority w:val="0"/>
    <w:pPr>
      <w:framePr w:wrap="around" w:vAnchor="margin" w:hAnchor="text" w:y="1"/>
      <w:widowControl w:val="0"/>
      <w:ind w:firstLine="4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5">
    <w:name w:val="页眉 字符"/>
    <w:basedOn w:val="8"/>
    <w:link w:val="5"/>
    <w:qFormat/>
    <w:uiPriority w:val="0"/>
    <w:rPr>
      <w:rFonts w:ascii="Arial Unicode MS" w:hAnsi="Arial Unicode MS" w:eastAsia="Times New Roman" w:cs="Arial Unicode MS"/>
      <w:color w:val="000000"/>
      <w:kern w:val="2"/>
      <w:sz w:val="18"/>
      <w:szCs w:val="18"/>
      <w:u w:color="000000"/>
    </w:rPr>
  </w:style>
  <w:style w:type="paragraph" w:customStyle="1" w:styleId="16">
    <w:name w:val="列表段落1"/>
    <w:basedOn w:val="1"/>
    <w:qFormat/>
    <w:uiPriority w:val="99"/>
    <w:pPr>
      <w:framePr w:wrap="around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4326</Words>
  <Characters>4541</Characters>
  <Lines>2</Lines>
  <Paragraphs>1</Paragraphs>
  <TotalTime>40</TotalTime>
  <ScaleCrop>false</ScaleCrop>
  <LinksUpToDate>false</LinksUpToDate>
  <CharactersWithSpaces>4567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2019-03-19T02:01:00Z</dcterms:created>
  <dc:creator>HP</dc:creator>
  <cp:lastModifiedBy>特浓盐牛奶糖</cp:lastModifiedBy>
  <cp:lastPrinted>2019-06-17T03:57:00Z</cp:lastPrinted>
  <dcterms:modified xsi:type="dcterms:W3CDTF">2026-06-08T07:26:04Z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2EF287012E7042D7A7353FC2216727C2_12</vt:lpwstr>
  </property>
  <property fmtid="{D5CDD505-2E9C-101B-9397-08002B2CF9AE}" pid="4" name="KSOTemplateDocerSaveRecord">
    <vt:lpwstr>eyJoZGlkIjoiYjRjZDgxZmM2NTBmY2I2MjMyOTEyMmI3NDRhNjM5Y2QiLCJ1c2VySWQiOiIxMTQ4NjA0ODU1In0=</vt:lpwstr>
  </property>
</Properties>
</file>