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3EB7B">
      <w:pPr>
        <w:framePr w:wrap="around"/>
        <w:ind w:firstLine="640"/>
        <w:jc w:val="left"/>
      </w:pPr>
      <w:bookmarkStart w:id="0" w:name="OLE_LINK3"/>
      <w:bookmarkStart w:id="1" w:name="OLE_LINK2"/>
    </w:p>
    <w:p w14:paraId="61DAE67D">
      <w:pPr>
        <w:framePr w:wrap="around"/>
        <w:ind w:firstLine="1040"/>
        <w:jc w:val="center"/>
        <w:rPr>
          <w:rFonts w:hint="default" w:ascii="楷体_GB2312" w:hAnsi="楷体_GB2312" w:eastAsia="楷体_GB2312"/>
          <w:sz w:val="52"/>
          <w:szCs w:val="52"/>
        </w:rPr>
      </w:pPr>
    </w:p>
    <w:p w14:paraId="23747236">
      <w:pPr>
        <w:framePr w:wrap="around"/>
        <w:ind w:firstLine="1040"/>
        <w:jc w:val="center"/>
        <w:rPr>
          <w:rFonts w:ascii="楷体_GB2312" w:hAnsi="楷体_GB2312" w:eastAsia="楷体_GB2312"/>
          <w:sz w:val="52"/>
          <w:szCs w:val="52"/>
        </w:rPr>
      </w:pPr>
    </w:p>
    <w:p w14:paraId="25C936A8">
      <w:pPr>
        <w:framePr w:wrap="around"/>
        <w:jc w:val="center"/>
        <w:rPr>
          <w:rFonts w:ascii="楷体_GB2312" w:hAnsi="楷体_GB2312" w:eastAsia="楷体_GB2312"/>
          <w:sz w:val="52"/>
          <w:szCs w:val="52"/>
        </w:rPr>
      </w:pPr>
      <w:r>
        <w:rPr>
          <w:rFonts w:ascii="楷体_GB2312" w:hAnsi="楷体_GB2312" w:eastAsia="楷体_GB2312"/>
          <w:sz w:val="52"/>
          <w:szCs w:val="52"/>
        </w:rPr>
        <w:t>《</w:t>
      </w:r>
      <w:r>
        <w:rPr>
          <w:rFonts w:hint="cs" w:ascii="楷体_GB2312" w:hAnsi="楷体_GB2312" w:eastAsia="楷体_GB2312"/>
          <w:sz w:val="52"/>
          <w:szCs w:val="52"/>
        </w:rPr>
        <w:t>基于产业链的供应链合作指南</w:t>
      </w:r>
      <w:r>
        <w:rPr>
          <w:rFonts w:ascii="楷体_GB2312" w:hAnsi="楷体_GB2312" w:eastAsia="楷体_GB2312"/>
          <w:sz w:val="52"/>
          <w:szCs w:val="52"/>
        </w:rPr>
        <w:t>》</w:t>
      </w:r>
    </w:p>
    <w:p w14:paraId="33429E6D">
      <w:pPr>
        <w:framePr w:wrap="around"/>
        <w:jc w:val="center"/>
        <w:rPr>
          <w:rFonts w:ascii="楷体_GB2312" w:hAnsi="楷体_GB2312" w:eastAsia="楷体_GB2312"/>
          <w:sz w:val="52"/>
          <w:szCs w:val="52"/>
        </w:rPr>
      </w:pPr>
    </w:p>
    <w:p w14:paraId="1DC49BCF">
      <w:pPr>
        <w:framePr w:wrap="around"/>
        <w:jc w:val="center"/>
        <w:rPr>
          <w:rFonts w:ascii="楷体_GB2312" w:hAnsi="楷体_GB2312" w:eastAsia="楷体_GB2312"/>
          <w:sz w:val="52"/>
          <w:szCs w:val="52"/>
        </w:rPr>
      </w:pPr>
      <w:r>
        <w:rPr>
          <w:rFonts w:ascii="楷体_GB2312" w:hAnsi="楷体_GB2312" w:eastAsia="楷体_GB2312"/>
          <w:sz w:val="52"/>
          <w:szCs w:val="52"/>
        </w:rPr>
        <w:t>团体标准编制说明</w:t>
      </w:r>
    </w:p>
    <w:p w14:paraId="1A9A105F">
      <w:pPr>
        <w:framePr w:wrap="around"/>
        <w:jc w:val="center"/>
        <w:rPr>
          <w:rFonts w:ascii="楷体_GB2312" w:hAnsi="楷体_GB2312" w:eastAsia="楷体_GB2312"/>
          <w:sz w:val="44"/>
          <w:szCs w:val="44"/>
        </w:rPr>
      </w:pPr>
    </w:p>
    <w:p w14:paraId="2372BA85">
      <w:pPr>
        <w:framePr w:wrap="around"/>
        <w:jc w:val="center"/>
        <w:rPr>
          <w:rFonts w:ascii="楷体_GB2312" w:hAnsi="楷体_GB2312" w:eastAsia="楷体_GB2312"/>
          <w:sz w:val="44"/>
          <w:szCs w:val="44"/>
        </w:rPr>
      </w:pPr>
    </w:p>
    <w:p w14:paraId="036A4807">
      <w:pPr>
        <w:framePr w:wrap="around"/>
        <w:jc w:val="center"/>
        <w:rPr>
          <w:rFonts w:ascii="楷体_GB2312" w:hAnsi="楷体_GB2312" w:eastAsia="楷体_GB2312"/>
          <w:sz w:val="44"/>
          <w:szCs w:val="44"/>
        </w:rPr>
      </w:pPr>
    </w:p>
    <w:p w14:paraId="1F59E181">
      <w:pPr>
        <w:framePr w:wrap="around"/>
        <w:jc w:val="center"/>
        <w:rPr>
          <w:rFonts w:ascii="楷体_GB2312" w:hAnsi="楷体_GB2312" w:eastAsia="楷体_GB2312"/>
          <w:sz w:val="44"/>
          <w:szCs w:val="44"/>
        </w:rPr>
      </w:pPr>
    </w:p>
    <w:p w14:paraId="562CC4BD">
      <w:pPr>
        <w:framePr w:wrap="around"/>
        <w:jc w:val="center"/>
        <w:rPr>
          <w:rFonts w:ascii="楷体_GB2312" w:hAnsi="楷体_GB2312" w:eastAsia="楷体_GB2312"/>
          <w:sz w:val="44"/>
          <w:szCs w:val="44"/>
        </w:rPr>
      </w:pPr>
    </w:p>
    <w:p w14:paraId="0E846D51">
      <w:pPr>
        <w:framePr w:wrap="around"/>
        <w:jc w:val="center"/>
        <w:rPr>
          <w:rFonts w:ascii="楷体_GB2312" w:hAnsi="楷体_GB2312" w:eastAsia="楷体_GB2312"/>
          <w:sz w:val="44"/>
          <w:szCs w:val="44"/>
        </w:rPr>
      </w:pPr>
    </w:p>
    <w:p w14:paraId="09626A10">
      <w:pPr>
        <w:framePr w:wrap="around"/>
        <w:jc w:val="center"/>
        <w:rPr>
          <w:rFonts w:ascii="楷体_GB2312" w:hAnsi="楷体_GB2312" w:eastAsia="楷体_GB2312"/>
          <w:sz w:val="44"/>
          <w:szCs w:val="44"/>
        </w:rPr>
      </w:pPr>
    </w:p>
    <w:p w14:paraId="1F8B8CAE">
      <w:pPr>
        <w:framePr w:wrap="around"/>
        <w:jc w:val="center"/>
        <w:rPr>
          <w:rFonts w:ascii="楷体_GB2312" w:hAnsi="楷体_GB2312" w:eastAsia="楷体_GB2312"/>
          <w:sz w:val="44"/>
          <w:szCs w:val="44"/>
        </w:rPr>
      </w:pPr>
    </w:p>
    <w:p w14:paraId="47A0B0C6">
      <w:pPr>
        <w:framePr w:wrap="around"/>
        <w:jc w:val="center"/>
        <w:rPr>
          <w:rFonts w:ascii="楷体_GB2312" w:hAnsi="楷体_GB2312" w:eastAsia="楷体_GB2312"/>
          <w:sz w:val="48"/>
          <w:szCs w:val="48"/>
        </w:rPr>
      </w:pPr>
      <w:r>
        <w:rPr>
          <w:rFonts w:ascii="楷体_GB2312" w:hAnsi="楷体_GB2312" w:eastAsia="楷体_GB2312"/>
          <w:sz w:val="48"/>
          <w:szCs w:val="48"/>
        </w:rPr>
        <w:t>标准起草组</w:t>
      </w:r>
    </w:p>
    <w:p w14:paraId="7AAA734B">
      <w:pPr>
        <w:framePr w:wrap="around"/>
        <w:jc w:val="center"/>
        <w:rPr>
          <w:rFonts w:ascii="楷体_GB2312" w:hAnsi="楷体_GB2312" w:eastAsia="楷体_GB2312"/>
          <w:sz w:val="48"/>
          <w:szCs w:val="48"/>
        </w:rPr>
      </w:pPr>
      <w:r>
        <w:rPr>
          <w:rFonts w:ascii="楷体_GB2312" w:hAnsi="楷体_GB2312" w:eastAsia="楷体_GB2312"/>
          <w:sz w:val="48"/>
          <w:szCs w:val="48"/>
        </w:rPr>
        <w:t>二〇二六年三月</w:t>
      </w:r>
    </w:p>
    <w:p w14:paraId="28AC63EA">
      <w:pPr>
        <w:framePr w:wrap="auto" w:vAnchor="margin" w:hAnchor="text" w:yAlign="inline"/>
        <w:spacing w:before="312" w:beforeLines="100" w:after="312" w:afterLines="100" w:line="360" w:lineRule="auto"/>
        <w:jc w:val="center"/>
        <w:rPr>
          <w:rFonts w:hint="default" w:ascii="方正小标宋简体" w:hAnsi="仿宋_GB2312" w:eastAsia="方正小标宋简体" w:cstheme="minorBidi"/>
          <w:b/>
          <w:bCs/>
          <w:color w:val="auto"/>
          <w:sz w:val="32"/>
          <w:szCs w:val="32"/>
        </w:rPr>
      </w:pPr>
    </w:p>
    <w:p w14:paraId="27638ECB">
      <w:pPr>
        <w:framePr w:wrap="auto" w:vAnchor="margin" w:hAnchor="text" w:yAlign="inline"/>
        <w:spacing w:before="312" w:beforeLines="100" w:after="312" w:afterLines="100" w:line="360" w:lineRule="auto"/>
        <w:jc w:val="center"/>
        <w:rPr>
          <w:rFonts w:hint="default" w:ascii="方正小标宋简体" w:hAnsi="仿宋_GB2312" w:eastAsia="方正小标宋简体" w:cstheme="minorBidi"/>
          <w:b/>
          <w:bCs/>
          <w:color w:val="auto"/>
          <w:sz w:val="32"/>
          <w:szCs w:val="32"/>
        </w:rPr>
      </w:pPr>
    </w:p>
    <w:p w14:paraId="286B1A70">
      <w:pPr>
        <w:framePr w:wrap="auto" w:vAnchor="margin" w:hAnchor="text" w:yAlign="inline"/>
        <w:spacing w:before="312" w:beforeLines="100" w:after="312" w:afterLines="100" w:line="360" w:lineRule="auto"/>
        <w:jc w:val="center"/>
        <w:rPr>
          <w:rFonts w:ascii="方正小标宋简体" w:hAnsi="仿宋_GB2312" w:eastAsia="方正小标宋简体" w:cstheme="minorBidi"/>
          <w:b/>
          <w:bCs/>
          <w:color w:val="auto"/>
          <w:sz w:val="32"/>
          <w:szCs w:val="32"/>
        </w:rPr>
      </w:pPr>
      <w:r>
        <w:rPr>
          <w:rFonts w:ascii="方正小标宋简体" w:hAnsi="仿宋_GB2312" w:eastAsia="方正小标宋简体" w:cstheme="minorBidi"/>
          <w:b/>
          <w:bCs/>
          <w:color w:val="auto"/>
          <w:sz w:val="32"/>
          <w:szCs w:val="32"/>
        </w:rPr>
        <w:t>《基于产业链的供应链合作指南》</w:t>
      </w:r>
    </w:p>
    <w:p w14:paraId="2FE1FDE6">
      <w:pPr>
        <w:framePr w:wrap="auto" w:vAnchor="margin" w:hAnchor="text" w:yAlign="inline"/>
        <w:spacing w:before="312" w:beforeLines="100" w:after="312" w:afterLines="100" w:line="360" w:lineRule="auto"/>
        <w:jc w:val="center"/>
        <w:rPr>
          <w:rFonts w:ascii="方正小标宋简体" w:hAnsi="仿宋_GB2312" w:eastAsia="方正小标宋简体" w:cstheme="minorBidi"/>
          <w:b/>
          <w:bCs/>
          <w:color w:val="auto"/>
          <w:sz w:val="32"/>
          <w:szCs w:val="32"/>
        </w:rPr>
      </w:pPr>
      <w:r>
        <w:rPr>
          <w:rFonts w:ascii="方正小标宋简体" w:hAnsi="仿宋_GB2312" w:eastAsia="方正小标宋简体" w:cstheme="minorBidi"/>
          <w:b/>
          <w:bCs/>
          <w:color w:val="auto"/>
          <w:sz w:val="32"/>
          <w:szCs w:val="32"/>
        </w:rPr>
        <w:t>团体标准编制说明</w:t>
      </w:r>
    </w:p>
    <w:p w14:paraId="0BD637C6">
      <w:pPr>
        <w:pStyle w:val="31"/>
        <w:framePr w:wrap="auto" w:vAnchor="margin" w:hAnchor="text" w:yAlign="inline"/>
        <w:numPr>
          <w:ilvl w:val="0"/>
          <w:numId w:val="6"/>
        </w:numPr>
        <w:ind w:firstLineChars="0"/>
        <w:rPr>
          <w:rFonts w:hint="default" w:ascii="黑体" w:hAnsi="黑体" w:eastAsia="黑体" w:cs="黑体"/>
          <w:sz w:val="28"/>
          <w:szCs w:val="28"/>
        </w:rPr>
      </w:pPr>
      <w:r>
        <w:rPr>
          <w:rFonts w:ascii="黑体" w:hAnsi="黑体" w:eastAsia="黑体" w:cs="黑体"/>
          <w:sz w:val="28"/>
          <w:szCs w:val="28"/>
        </w:rPr>
        <w:t>标准项目来源</w:t>
      </w:r>
    </w:p>
    <w:p w14:paraId="281F3B89">
      <w:pPr>
        <w:pStyle w:val="31"/>
        <w:framePr w:wrap="auto" w:vAnchor="margin" w:hAnchor="text" w:yAlign="inline"/>
        <w:ind w:firstLine="560"/>
        <w:rPr>
          <w:rFonts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《基于产业链的供应链合作指南》团体标准</w:t>
      </w:r>
      <w:r>
        <w:rPr>
          <w:rFonts w:asciiTheme="minorEastAsia" w:hAnsiTheme="minorEastAsia" w:eastAsiaTheme="minorEastAsia" w:cstheme="minorEastAsia"/>
          <w:sz w:val="28"/>
          <w:szCs w:val="28"/>
        </w:rPr>
        <w:t>任务</w:t>
      </w:r>
      <w:r>
        <w:rPr>
          <w:rFonts w:hint="cs" w:asciiTheme="minorEastAsia" w:hAnsiTheme="minorEastAsia" w:eastAsiaTheme="minorEastAsia" w:cstheme="minorEastAsia"/>
          <w:sz w:val="28"/>
          <w:szCs w:val="28"/>
        </w:rPr>
        <w:t>来源于</w:t>
      </w:r>
      <w:r>
        <w:rPr>
          <w:rFonts w:asciiTheme="minorEastAsia" w:hAnsiTheme="minorEastAsia" w:eastAsiaTheme="minorEastAsia" w:cstheme="minorEastAsia"/>
          <w:sz w:val="28"/>
          <w:szCs w:val="28"/>
        </w:rPr>
        <w:t>2024年9月10日</w:t>
      </w:r>
      <w:r>
        <w:rPr>
          <w:rFonts w:hint="cs" w:asciiTheme="minorEastAsia" w:hAnsiTheme="minorEastAsia" w:eastAsiaTheme="minorEastAsia" w:cstheme="minorEastAsia"/>
          <w:sz w:val="28"/>
          <w:szCs w:val="28"/>
        </w:rPr>
        <w:t>《中国贸促会商业行业委员会关于下达</w:t>
      </w:r>
      <w:r>
        <w:rPr>
          <w:rFonts w:hint="default" w:asciiTheme="minorEastAsia" w:hAnsiTheme="minorEastAsia" w:eastAsiaTheme="minorEastAsia" w:cstheme="minorEastAsia"/>
          <w:sz w:val="28"/>
          <w:szCs w:val="28"/>
        </w:rPr>
        <w:t>2024年第七批团体标准项目计划的通知》（商贸促字〔2024〕199号）</w:t>
      </w:r>
      <w:r>
        <w:rPr>
          <w:rFonts w:asciiTheme="minorEastAsia" w:hAnsiTheme="minorEastAsia" w:eastAsiaTheme="minorEastAsia" w:cstheme="minorEastAsia"/>
          <w:sz w:val="28"/>
          <w:szCs w:val="28"/>
        </w:rPr>
        <w:t>（计划号：</w:t>
      </w:r>
      <w:r>
        <w:rPr>
          <w:rFonts w:hint="default" w:asciiTheme="minorEastAsia" w:hAnsiTheme="minorEastAsia" w:eastAsiaTheme="minorEastAsia" w:cstheme="minorEastAsia"/>
          <w:sz w:val="28"/>
          <w:szCs w:val="28"/>
        </w:rPr>
        <w:t>CCPIT-CSC-JH2024292</w:t>
      </w: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本标准由</w:t>
      </w:r>
      <w:r>
        <w:rPr>
          <w:rFonts w:hint="cs" w:asciiTheme="minorEastAsia" w:hAnsiTheme="minorEastAsia" w:eastAsiaTheme="minorEastAsia" w:cstheme="minorEastAsia"/>
          <w:sz w:val="28"/>
          <w:szCs w:val="28"/>
        </w:rPr>
        <w:t>中国国际展览中心集团有限公司</w:t>
      </w:r>
      <w:r>
        <w:rPr>
          <w:rFonts w:asciiTheme="minorEastAsia" w:hAnsiTheme="minorEastAsia" w:eastAsiaTheme="minorEastAsia" w:cstheme="minorEastAsia"/>
          <w:sz w:val="28"/>
          <w:szCs w:val="28"/>
        </w:rPr>
        <w:t>牵头提出，由</w:t>
      </w:r>
      <w:r>
        <w:rPr>
          <w:rFonts w:hint="default" w:asciiTheme="minorEastAsia" w:hAnsiTheme="minorEastAsia" w:eastAsiaTheme="minorEastAsia" w:cstheme="minorEastAsia"/>
          <w:sz w:val="28"/>
          <w:szCs w:val="28"/>
        </w:rPr>
        <w:t>中国国际贸易促进委员会商业行业委员会</w:t>
      </w:r>
      <w:r>
        <w:rPr>
          <w:rFonts w:asciiTheme="minorEastAsia" w:hAnsiTheme="minorEastAsia" w:eastAsiaTheme="minorEastAsia" w:cstheme="minorEastAsia"/>
          <w:sz w:val="28"/>
          <w:szCs w:val="28"/>
        </w:rPr>
        <w:t>立项管理。</w:t>
      </w:r>
    </w:p>
    <w:p w14:paraId="40DF7D00">
      <w:pPr>
        <w:framePr w:wrap="auto" w:vAnchor="margin" w:hAnchor="text" w:yAlign="inline"/>
        <w:numPr>
          <w:ilvl w:val="0"/>
          <w:numId w:val="7"/>
        </w:numPr>
        <w:ind w:firstLine="560" w:firstLineChars="200"/>
        <w:rPr>
          <w:rFonts w:ascii="黑体" w:hAnsi="黑体" w:eastAsia="黑体" w:cs="黑体"/>
          <w:sz w:val="28"/>
          <w:szCs w:val="28"/>
        </w:rPr>
      </w:pPr>
      <w:r>
        <w:rPr>
          <w:rFonts w:ascii="黑体" w:hAnsi="黑体" w:eastAsia="黑体" w:cs="黑体"/>
          <w:sz w:val="28"/>
          <w:szCs w:val="28"/>
        </w:rPr>
        <w:t>标准制定的目的和意义</w:t>
      </w:r>
    </w:p>
    <w:p w14:paraId="6C3489DC">
      <w:pPr>
        <w:framePr w:wrap="auto" w:vAnchor="margin" w:hAnchor="text" w:yAlign="inline"/>
        <w:ind w:firstLine="562" w:firstLineChars="200"/>
        <w:rPr>
          <w:rFonts w:hint="default" w:asciiTheme="minorEastAsia" w:hAnsiTheme="minorEastAsia" w:eastAsiaTheme="minorEastAsia" w:cstheme="minorEastAsia"/>
          <w:b/>
          <w:bCs/>
          <w:color w:val="auto"/>
          <w:sz w:val="28"/>
          <w:szCs w:val="28"/>
        </w:rPr>
      </w:pPr>
      <w:r>
        <w:rPr>
          <w:rFonts w:asciiTheme="minorEastAsia" w:hAnsiTheme="minorEastAsia" w:eastAsiaTheme="minorEastAsia" w:cstheme="minorEastAsia"/>
          <w:b/>
          <w:bCs/>
          <w:color w:val="auto"/>
          <w:sz w:val="28"/>
          <w:szCs w:val="28"/>
        </w:rPr>
        <w:t>（一）标准制定的目的</w:t>
      </w:r>
    </w:p>
    <w:p w14:paraId="50E341B0">
      <w:pPr>
        <w:pStyle w:val="31"/>
        <w:framePr w:wrap="auto" w:vAnchor="margin" w:hAnchor="text" w:yAlign="inline"/>
        <w:ind w:firstLine="560"/>
        <w:rPr>
          <w:rFonts w:hint="default" w:ascii="宋体" w:hAnsi="宋体" w:eastAsia="宋体" w:cs="宋体"/>
          <w:sz w:val="28"/>
          <w:szCs w:val="28"/>
        </w:rPr>
      </w:pPr>
      <w:r>
        <w:rPr>
          <w:rFonts w:hint="default" w:asciiTheme="minorEastAsia" w:hAnsiTheme="minorEastAsia" w:eastAsiaTheme="minorEastAsia" w:cstheme="minorEastAsia"/>
          <w:sz w:val="28"/>
          <w:szCs w:val="28"/>
        </w:rPr>
        <w:t>当前</w:t>
      </w: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全球经济格局</w:t>
      </w:r>
      <w:r>
        <w:rPr>
          <w:rFonts w:asciiTheme="minorEastAsia" w:hAnsiTheme="minorEastAsia" w:eastAsiaTheme="minorEastAsia" w:cstheme="minorEastAsia"/>
          <w:sz w:val="28"/>
          <w:szCs w:val="28"/>
        </w:rPr>
        <w:t>正经历</w:t>
      </w:r>
      <w:r>
        <w:rPr>
          <w:rFonts w:hint="default" w:asciiTheme="minorEastAsia" w:hAnsiTheme="minorEastAsia" w:eastAsiaTheme="minorEastAsia" w:cstheme="minorEastAsia"/>
          <w:sz w:val="28"/>
          <w:szCs w:val="28"/>
        </w:rPr>
        <w:t>深刻变革</w:t>
      </w:r>
      <w:r>
        <w:rPr>
          <w:rFonts w:asciiTheme="minorEastAsia" w:hAnsiTheme="minorEastAsia" w:eastAsiaTheme="minorEastAsia" w:cstheme="minorEastAsia"/>
          <w:sz w:val="28"/>
          <w:szCs w:val="28"/>
        </w:rPr>
        <w:t>，全球产业链供应链体系加速重构，</w:t>
      </w:r>
      <w:r>
        <w:rPr>
          <w:rFonts w:hint="default" w:asciiTheme="minorEastAsia" w:hAnsiTheme="minorEastAsia" w:eastAsiaTheme="minorEastAsia" w:cstheme="minorEastAsia"/>
          <w:sz w:val="28"/>
          <w:szCs w:val="28"/>
        </w:rPr>
        <w:t>本土化、区域化、短链化等新趋势</w:t>
      </w:r>
      <w:r>
        <w:rPr>
          <w:rFonts w:asciiTheme="minorEastAsia" w:hAnsiTheme="minorEastAsia" w:eastAsiaTheme="minorEastAsia" w:cstheme="minorEastAsia"/>
          <w:sz w:val="28"/>
          <w:szCs w:val="28"/>
        </w:rPr>
        <w:t>持续</w:t>
      </w:r>
      <w:r>
        <w:rPr>
          <w:rFonts w:hint="default" w:asciiTheme="minorEastAsia" w:hAnsiTheme="minorEastAsia" w:eastAsiaTheme="minorEastAsia" w:cstheme="minorEastAsia"/>
          <w:sz w:val="28"/>
          <w:szCs w:val="28"/>
        </w:rPr>
        <w:t>涌现，全球产业链供应链的复杂性和不确定性</w:t>
      </w:r>
      <w:r>
        <w:rPr>
          <w:rFonts w:asciiTheme="minorEastAsia" w:hAnsiTheme="minorEastAsia" w:eastAsiaTheme="minorEastAsia" w:cstheme="minorEastAsia"/>
          <w:sz w:val="28"/>
          <w:szCs w:val="28"/>
        </w:rPr>
        <w:t>显著提升</w:t>
      </w:r>
      <w:r>
        <w:rPr>
          <w:rFonts w:hint="default" w:asciiTheme="minorEastAsia" w:hAnsiTheme="minorEastAsia" w:eastAsiaTheme="minorEastAsia" w:cstheme="minorEastAsia"/>
          <w:sz w:val="28"/>
          <w:szCs w:val="28"/>
        </w:rPr>
        <w:t>。在此背景下，作为全球唯一拥有全部工业门类的国家，</w:t>
      </w:r>
      <w:r>
        <w:rPr>
          <w:rFonts w:asciiTheme="minorEastAsia" w:hAnsiTheme="minorEastAsia" w:eastAsiaTheme="minorEastAsia" w:cstheme="minorEastAsia"/>
          <w:sz w:val="28"/>
          <w:szCs w:val="28"/>
        </w:rPr>
        <w:t>基于产业链的供应链合作成为我国提升产业韧性、优化全球资源配置的核心路径。与此同时，</w:t>
      </w:r>
      <w:r>
        <w:rPr>
          <w:rFonts w:hint="cs" w:asciiTheme="minorEastAsia" w:hAnsiTheme="minorEastAsia" w:eastAsiaTheme="minorEastAsia" w:cstheme="minorEastAsia"/>
          <w:sz w:val="28"/>
          <w:szCs w:val="28"/>
        </w:rPr>
        <w:t>中国国际供应链促进博览会（以下简称链博会）作为全球首个以供应链为主题的国家级展会，设置先进制造链、清洁能源链、智能汽车链、数字科技链、健康生活链、绿色农业链等</w:t>
      </w:r>
      <w:r>
        <w:rPr>
          <w:rFonts w:hint="default" w:asciiTheme="minorEastAsia" w:hAnsiTheme="minorEastAsia" w:eastAsiaTheme="minorEastAsia" w:cstheme="minorEastAsia"/>
          <w:sz w:val="28"/>
          <w:szCs w:val="28"/>
        </w:rPr>
        <w:t>6大链条和供应链服务展区，致力于促进上中下游衔接、大中小企业融通、产学研用协同、中外企业互动，帮助各国企业更好地融入全球产业链供应链，维护全球产业链供应链的韧性和稳定，不仅为全球产业链供应链的国际合作搭建了重要平台，还为建设更加安全稳定、开放包容的全球产业链供应链</w:t>
      </w:r>
      <w:r>
        <w:rPr>
          <w:rFonts w:hint="eastAsia" w:asciiTheme="minorEastAsia" w:hAnsiTheme="minorEastAsia" w:eastAsiaTheme="minorEastAsia" w:cstheme="minorEastAsia"/>
          <w:sz w:val="28"/>
          <w:szCs w:val="28"/>
          <w:lang w:val="en-US" w:eastAsia="zh-CN"/>
        </w:rPr>
        <w:t>作出</w:t>
      </w:r>
      <w:r>
        <w:rPr>
          <w:rFonts w:hint="default" w:asciiTheme="minorEastAsia" w:hAnsiTheme="minorEastAsia" w:eastAsiaTheme="minorEastAsia" w:cstheme="minorEastAsia"/>
          <w:sz w:val="28"/>
          <w:szCs w:val="28"/>
        </w:rPr>
        <w:t>积极贡献。</w:t>
      </w:r>
      <w:r>
        <w:rPr>
          <w:rFonts w:asciiTheme="minorEastAsia" w:hAnsiTheme="minorEastAsia" w:eastAsiaTheme="minorEastAsia" w:cstheme="minorEastAsia"/>
          <w:sz w:val="28"/>
          <w:szCs w:val="28"/>
        </w:rPr>
        <w:t>因此，立足于产业链和供应链协同发展的需求，基于链博会的实践，提出研制《基于产业链的供应链合作指南》团体标准（以下简称“本文件”），旨在通过构建一个覆盖全产业链的协同机制，引导产业链各方深化供应链合作，进而构建更具竞</w:t>
      </w:r>
      <w:r>
        <w:rPr>
          <w:rFonts w:ascii="宋体" w:hAnsi="宋体" w:eastAsia="宋体" w:cs="宋体"/>
          <w:sz w:val="28"/>
          <w:szCs w:val="28"/>
        </w:rPr>
        <w:t>争力的产业生态体系，为经济高质量发展提供标准化支撑。</w:t>
      </w:r>
    </w:p>
    <w:p w14:paraId="346F2337">
      <w:pPr>
        <w:pStyle w:val="31"/>
        <w:framePr w:wrap="auto" w:vAnchor="margin" w:hAnchor="text" w:yAlign="inline"/>
        <w:ind w:firstLine="562"/>
        <w:rPr>
          <w:rFonts w:hint="default" w:asciiTheme="minorEastAsia" w:hAnsiTheme="minorEastAsia" w:eastAsiaTheme="minorEastAsia" w:cstheme="minorEastAsia"/>
          <w:sz w:val="28"/>
          <w:szCs w:val="28"/>
        </w:rPr>
      </w:pPr>
      <w:r>
        <w:rPr>
          <w:rFonts w:asciiTheme="minorEastAsia" w:hAnsiTheme="minorEastAsia" w:eastAsiaTheme="minorEastAsia" w:cstheme="minorEastAsia"/>
          <w:b/>
          <w:bCs/>
          <w:color w:val="auto"/>
          <w:sz w:val="28"/>
          <w:szCs w:val="28"/>
        </w:rPr>
        <w:t>（二）标准制定的意义</w:t>
      </w:r>
    </w:p>
    <w:p w14:paraId="5B79CCBA">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hint="cs" w:asciiTheme="minorEastAsia" w:hAnsiTheme="minorEastAsia" w:eastAsiaTheme="minorEastAsia" w:cstheme="minorEastAsia"/>
          <w:sz w:val="28"/>
          <w:szCs w:val="28"/>
        </w:rPr>
        <w:t>供应链合作的核心目标是将各参与企业的专业知识和技能进行整合，从而为商业伙伴和终端消费者带来共同利益。实践证明，有效的供应链合作能够提高整体供应链的反应速度和市场适应性。单纯的供应链合作往往聚焦于企业间的物流、采购、库存及成本效率优化，容易忽视供应链上游资源配置与下游市场需求之间的战略性联动。而基于产业链的供应链合作，强调以产业链整体发展为导向，通过整合与优化供应链各环节资源，实现上下游企业之间在价值、战略、技术、生产、物流、信息以及市场等方面的深度合作，不仅涵盖了供应链管理范畴内的效率优化问题，更聚焦产业链层面的系统性战略问题，服务于国家产业升级和高质量发展的整体目标，符合我国当前推进产业链现代化与强化产业链供应链韧性的现实需求。</w:t>
      </w:r>
    </w:p>
    <w:p w14:paraId="19D998B5">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hint="cs" w:asciiTheme="minorEastAsia" w:hAnsiTheme="minorEastAsia" w:eastAsiaTheme="minorEastAsia" w:cstheme="minorEastAsia"/>
          <w:sz w:val="28"/>
          <w:szCs w:val="28"/>
        </w:rPr>
        <w:t>目前，国际标准化组织（</w:t>
      </w:r>
      <w:r>
        <w:rPr>
          <w:rFonts w:hint="default" w:asciiTheme="minorEastAsia" w:hAnsiTheme="minorEastAsia" w:eastAsiaTheme="minorEastAsia" w:cstheme="minorEastAsia"/>
          <w:sz w:val="28"/>
          <w:szCs w:val="28"/>
        </w:rPr>
        <w:t>ISO）合作业务关系管理技术委员会（ISO/TC 286）已发布了系列合作业务关系管理标准，例如，ISO/TR 44000:2019《成功的合作业务关系管理的原则》、ISO 44001:2017《协作业务关系管理体系 要求和框架》等，为不同类型的组织开展合作提供了国际通用的方法论和实践指导。同时，这些国际标准已被我国等同采用为国家标准，便于国内相关方理解和应用实施合作业务管理系列标准。</w:t>
      </w:r>
    </w:p>
    <w:p w14:paraId="7BF9C07C">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为更好地推动我国产业链供应链的协同发展，本文件结合我国基于产业链的供应链合作的实际需求，遵循GB/Z 41838(采标ISO/TR 44000)给出的十二项原则，并借鉴链博会的成功经验，从产业链的全局出发，为供应链合作提供系统性、针对性的指导：</w:t>
      </w:r>
    </w:p>
    <w:p w14:paraId="375A4810">
      <w:pPr>
        <w:pStyle w:val="31"/>
        <w:framePr w:wrap="auto" w:vAnchor="margin" w:hAnchor="text" w:yAlign="inline"/>
        <w:numPr>
          <w:ilvl w:val="0"/>
          <w:numId w:val="8"/>
        </w:numPr>
        <w:ind w:firstLineChars="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理解基于产业链的供应链合作，探索其合作边界，确定其合作要素；</w:t>
      </w:r>
    </w:p>
    <w:p w14:paraId="1D8B60C3">
      <w:pPr>
        <w:pStyle w:val="31"/>
        <w:framePr w:wrap="auto" w:vAnchor="margin" w:hAnchor="text" w:yAlign="inline"/>
        <w:numPr>
          <w:ilvl w:val="0"/>
          <w:numId w:val="8"/>
        </w:numPr>
        <w:ind w:firstLineChars="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明确合作的指导方针和建议，指导企业成功地实施供应链合作；</w:t>
      </w:r>
    </w:p>
    <w:p w14:paraId="070BCF3E">
      <w:pPr>
        <w:pStyle w:val="31"/>
        <w:framePr w:wrap="auto" w:vAnchor="margin" w:hAnchor="text" w:yAlign="inline"/>
        <w:numPr>
          <w:ilvl w:val="0"/>
          <w:numId w:val="8"/>
        </w:numPr>
        <w:ind w:firstLineChars="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助力产业链供应链高质量发展，提升我国在全球产业链供应链中的地位和影响力。</w:t>
      </w:r>
    </w:p>
    <w:p w14:paraId="5E0F94D8">
      <w:pPr>
        <w:framePr w:wrap="auto" w:vAnchor="margin" w:hAnchor="text" w:yAlign="inline"/>
        <w:ind w:firstLine="560" w:firstLineChars="200"/>
        <w:rPr>
          <w:rFonts w:ascii="黑体" w:hAnsi="黑体" w:eastAsia="黑体" w:cs="黑体"/>
          <w:sz w:val="28"/>
          <w:szCs w:val="28"/>
        </w:rPr>
      </w:pPr>
      <w:r>
        <w:rPr>
          <w:rFonts w:ascii="黑体" w:hAnsi="黑体" w:eastAsia="黑体" w:cs="黑体"/>
          <w:sz w:val="28"/>
          <w:szCs w:val="28"/>
        </w:rPr>
        <w:t>三、标准起草过程</w:t>
      </w:r>
    </w:p>
    <w:p w14:paraId="16CDFE2F">
      <w:pPr>
        <w:framePr w:wrap="auto" w:vAnchor="margin" w:hAnchor="text" w:yAlign="inline"/>
        <w:ind w:firstLine="562" w:firstLineChars="200"/>
        <w:rPr>
          <w:rFonts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（一）预研阶段</w:t>
      </w:r>
      <w:r>
        <w:rPr>
          <w:rFonts w:asciiTheme="minorEastAsia" w:hAnsiTheme="minorEastAsia" w:eastAsiaTheme="minorEastAsia" w:cstheme="minorEastAsia"/>
          <w:b/>
          <w:bCs/>
          <w:color w:val="auto"/>
          <w:sz w:val="28"/>
          <w:szCs w:val="28"/>
        </w:rPr>
        <w:t>（2024年7月—2024年8月）</w:t>
      </w:r>
    </w:p>
    <w:p w14:paraId="779D1123">
      <w:pPr>
        <w:framePr w:wrap="auto" w:vAnchor="margin" w:hAnchor="text" w:yAlign="inline"/>
        <w:ind w:firstLine="560" w:firstLineChars="200"/>
        <w:rPr>
          <w:rFonts w:asciiTheme="minorEastAsia" w:hAnsiTheme="minorEastAsia" w:eastAsiaTheme="minorEastAsia" w:cstheme="minorEastAsia"/>
          <w:sz w:val="28"/>
          <w:szCs w:val="28"/>
        </w:rPr>
      </w:pPr>
      <w:r>
        <w:rPr>
          <w:rFonts w:ascii="宋体" w:hAnsi="宋体" w:eastAsia="宋体" w:cs="宋体"/>
          <w:sz w:val="28"/>
          <w:szCs w:val="28"/>
        </w:rPr>
        <w:t>在标准起草的初始阶段（即预研阶段），主要工作集中于市场研判和需求分析。调研团队运用资料检索、企业实地走访、专家焦点小组会议等多种维度的调研方法，深入研究了包括制造业、新能源在内的重点行业，全面了解和分析了市场需求、现存问题以及行业发展趋势，为后续标准的制定提供了良好的理论基础和坚实的数据支撑，确保了标准的实用性和前瞻性。</w:t>
      </w:r>
    </w:p>
    <w:p w14:paraId="5FA7512B">
      <w:pPr>
        <w:framePr w:wrap="auto" w:vAnchor="margin" w:hAnchor="text" w:yAlign="inline"/>
        <w:ind w:firstLine="562" w:firstLineChars="200"/>
        <w:rPr>
          <w:rFonts w:asciiTheme="minorEastAsia" w:hAnsiTheme="minorEastAsia" w:eastAsiaTheme="minorEastAsia" w:cstheme="minorEastAsia"/>
          <w:b/>
          <w:bCs/>
          <w:sz w:val="28"/>
          <w:szCs w:val="28"/>
          <w:highlight w:val="yellow"/>
        </w:rPr>
      </w:pPr>
      <w:r>
        <w:rPr>
          <w:rFonts w:asciiTheme="minorEastAsia" w:hAnsiTheme="minorEastAsia" w:eastAsiaTheme="minorEastAsia" w:cstheme="minorEastAsia"/>
          <w:b/>
          <w:bCs/>
          <w:sz w:val="28"/>
          <w:szCs w:val="28"/>
        </w:rPr>
        <w:t>（二）立项阶段</w:t>
      </w:r>
      <w:r>
        <w:rPr>
          <w:rFonts w:asciiTheme="minorEastAsia" w:hAnsiTheme="minorEastAsia" w:eastAsiaTheme="minorEastAsia" w:cstheme="minorEastAsia"/>
          <w:b/>
          <w:bCs/>
          <w:color w:val="auto"/>
          <w:sz w:val="28"/>
          <w:szCs w:val="28"/>
        </w:rPr>
        <w:t>（2024年9月—2024年10月）</w:t>
      </w:r>
    </w:p>
    <w:p w14:paraId="30E1B65D">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1.立项准备。整合前期预研阶段的成果，编制标准制定的初步方案。</w:t>
      </w:r>
    </w:p>
    <w:p w14:paraId="5E1DDC29">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2.正式立项。根据《中国贸促会</w:t>
      </w:r>
      <w:r>
        <w:rPr>
          <w:rFonts w:hint="default" w:ascii="Times New Roman" w:hAnsi="Times New Roman" w:cs="Times New Roman" w:eastAsiaTheme="minorEastAsia"/>
          <w:sz w:val="28"/>
          <w:szCs w:val="28"/>
        </w:rPr>
        <w:t>商业行业委员会关于下达 2024 年第七批团体标准项目计划的通知》（商贸促字〔2024〕199 号）</w:t>
      </w:r>
      <w:r>
        <w:rPr>
          <w:rFonts w:asciiTheme="minorEastAsia" w:hAnsiTheme="minorEastAsia" w:eastAsiaTheme="minorEastAsia" w:cstheme="minorEastAsia"/>
          <w:sz w:val="28"/>
          <w:szCs w:val="28"/>
        </w:rPr>
        <w:t>，本文件正式立项，并由中国贸促会商业行业委员会和中国国际展览中心集团有限公司牵头组织起草。</w:t>
      </w:r>
    </w:p>
    <w:p w14:paraId="3A93EA96">
      <w:pPr>
        <w:framePr w:wrap="auto" w:vAnchor="margin" w:hAnchor="text" w:yAlign="inline"/>
        <w:ind w:firstLine="562" w:firstLineChars="200"/>
        <w:rPr>
          <w:rFonts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（三）起草阶段（2024年11月—2025年3月）</w:t>
      </w:r>
    </w:p>
    <w:p w14:paraId="579B403A">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1.政策与法规研究。在标准起草的初期，对与产业链和供应链相关的国内外法律法规、政策导向进行详细梳理，分析其对标准草案的潜在影响，确保草案内容的合法性与适用性。</w:t>
      </w:r>
    </w:p>
    <w:p w14:paraId="79FBD2B3">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2.技术调研。系统分析产业链供应链国内外有关政策，结合</w:t>
      </w:r>
      <w:r>
        <w:rPr>
          <w:rFonts w:ascii="Times New Roman" w:hAnsi="Times New Roman" w:cs="Times New Roman" w:eastAsiaTheme="minorEastAsia"/>
          <w:sz w:val="28"/>
          <w:szCs w:val="28"/>
        </w:rPr>
        <w:t>GB/Z 41838</w:t>
      </w:r>
      <w:r>
        <w:rPr>
          <w:rFonts w:asciiTheme="minorEastAsia" w:hAnsiTheme="minorEastAsia" w:eastAsiaTheme="minorEastAsia" w:cstheme="minorEastAsia"/>
          <w:sz w:val="28"/>
          <w:szCs w:val="28"/>
        </w:rPr>
        <w:t xml:space="preserve">《成功的合作业务关系管理原则》等标准体系，明确标准需重点突破的领域。通过技术分析和深入研究，为标准草案提供坚实的技术支撑，确保标准的先进性和实用性。 </w:t>
      </w:r>
    </w:p>
    <w:p w14:paraId="4CCF10DE">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3.研究行业最佳实践。深度解析行业内成功的典型案例，分析其成功的关键因素并提炼可复制经验，为标准起草提供实践指导。</w:t>
      </w:r>
    </w:p>
    <w:p w14:paraId="3EC6E798">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4.组建项目团队。确立团体标准研制项目团队，根据标准研制的需要，合理分配团队成员的角色和任务，确保团队成员能够各司其职，高效推进标准的起草工作。</w:t>
      </w:r>
    </w:p>
    <w:p w14:paraId="6FAF8EFA">
      <w:pPr>
        <w:framePr w:wrap="auto" w:vAnchor="margin" w:hAnchor="text" w:yAlign="inline"/>
        <w:ind w:firstLine="560" w:firstLineChars="200"/>
        <w:rPr>
          <w:rFonts w:asciiTheme="minorEastAsia" w:hAnsiTheme="minorEastAsia" w:eastAsiaTheme="minorEastAsia" w:cstheme="minorEastAsia"/>
          <w:sz w:val="28"/>
          <w:szCs w:val="28"/>
          <w:highlight w:val="yellow"/>
        </w:rPr>
      </w:pPr>
      <w:r>
        <w:rPr>
          <w:rFonts w:asciiTheme="minorEastAsia" w:hAnsiTheme="minorEastAsia" w:eastAsiaTheme="minorEastAsia" w:cstheme="minorEastAsia"/>
          <w:sz w:val="28"/>
          <w:szCs w:val="28"/>
        </w:rPr>
        <w:t>5.</w:t>
      </w:r>
      <w:r>
        <w:rPr>
          <w:rFonts w:ascii="宋体" w:hAnsi="宋体" w:eastAsia="宋体" w:cs="宋体"/>
          <w:sz w:val="28"/>
          <w:szCs w:val="28"/>
        </w:rPr>
        <w:t>举办研讨会议。2025年3月13日，</w:t>
      </w:r>
      <w:bookmarkStart w:id="2" w:name="_GoBack"/>
      <w:bookmarkEnd w:id="2"/>
      <w:r>
        <w:rPr>
          <w:rFonts w:ascii="宋体" w:hAnsi="宋体" w:eastAsia="宋体" w:cs="宋体"/>
          <w:sz w:val="28"/>
          <w:szCs w:val="28"/>
        </w:rPr>
        <w:t>来自中国工商银行股份有限公司、鞍山钢铁集团有限公司、广州交易集团有限公司、陆海新通道（北京）数据服务有限公司、中国管理科学学会、中国石油规划总院、浙江经贸职业技术学院等单位的近20位专家参与了研讨会议。会后，</w:t>
      </w:r>
      <w:r>
        <w:rPr>
          <w:rFonts w:ascii="Times New Roman" w:hAnsi="Times New Roman" w:cs="Times New Roman" w:eastAsiaTheme="minorEastAsia"/>
          <w:sz w:val="28"/>
          <w:szCs w:val="28"/>
        </w:rPr>
        <w:t>起草组根据</w:t>
      </w:r>
      <w:r>
        <w:rPr>
          <w:rFonts w:hint="default" w:ascii="Times New Roman" w:hAnsi="Times New Roman" w:cs="Times New Roman" w:eastAsiaTheme="minorEastAsia"/>
          <w:sz w:val="28"/>
          <w:szCs w:val="28"/>
        </w:rPr>
        <w:t>专家</w:t>
      </w:r>
      <w:r>
        <w:rPr>
          <w:rFonts w:ascii="Times New Roman" w:hAnsi="Times New Roman" w:cs="Times New Roman" w:eastAsiaTheme="minorEastAsia"/>
          <w:sz w:val="28"/>
          <w:szCs w:val="28"/>
        </w:rPr>
        <w:t>们</w:t>
      </w:r>
      <w:r>
        <w:rPr>
          <w:rFonts w:hint="default" w:ascii="Times New Roman" w:hAnsi="Times New Roman" w:cs="Times New Roman" w:eastAsiaTheme="minorEastAsia"/>
          <w:sz w:val="28"/>
          <w:szCs w:val="28"/>
        </w:rPr>
        <w:t>的意见和建议</w:t>
      </w:r>
      <w:r>
        <w:rPr>
          <w:rFonts w:ascii="Times New Roman" w:hAnsi="Times New Roman" w:cs="Times New Roman" w:eastAsiaTheme="minorEastAsia"/>
          <w:sz w:val="28"/>
          <w:szCs w:val="28"/>
        </w:rPr>
        <w:t>修改标准文本，</w:t>
      </w:r>
      <w:r>
        <w:rPr>
          <w:rFonts w:hint="default" w:ascii="Times New Roman" w:hAnsi="Times New Roman" w:cs="Times New Roman" w:eastAsiaTheme="minorEastAsia"/>
          <w:sz w:val="28"/>
          <w:szCs w:val="28"/>
        </w:rPr>
        <w:t>形成</w:t>
      </w:r>
      <w:r>
        <w:rPr>
          <w:rFonts w:ascii="Times New Roman" w:hAnsi="Times New Roman" w:cs="Times New Roman" w:eastAsiaTheme="minorEastAsia"/>
          <w:sz w:val="28"/>
          <w:szCs w:val="28"/>
        </w:rPr>
        <w:t>了</w:t>
      </w:r>
      <w:r>
        <w:rPr>
          <w:rFonts w:hint="default" w:ascii="Times New Roman" w:hAnsi="Times New Roman" w:cs="Times New Roman" w:eastAsiaTheme="minorEastAsia"/>
          <w:sz w:val="28"/>
          <w:szCs w:val="28"/>
        </w:rPr>
        <w:t>标准征求意见稿</w:t>
      </w:r>
      <w:r>
        <w:rPr>
          <w:rFonts w:ascii="Times New Roman" w:hAnsi="Times New Roman" w:cs="Times New Roman" w:eastAsiaTheme="minorEastAsia"/>
          <w:sz w:val="28"/>
          <w:szCs w:val="28"/>
        </w:rPr>
        <w:t>。</w:t>
      </w:r>
    </w:p>
    <w:p w14:paraId="3D0D0814">
      <w:pPr>
        <w:framePr w:wrap="auto" w:vAnchor="margin" w:hAnchor="text" w:yAlign="inline"/>
        <w:ind w:firstLine="562" w:firstLineChars="200"/>
        <w:rPr>
          <w:rFonts w:asciiTheme="minorEastAsia" w:hAnsiTheme="minorEastAsia" w:eastAsiaTheme="minorEastAsia" w:cstheme="minorEastAsia"/>
          <w:b/>
          <w:bCs/>
          <w:sz w:val="28"/>
          <w:szCs w:val="28"/>
          <w:highlight w:val="yellow"/>
        </w:rPr>
      </w:pPr>
      <w:r>
        <w:rPr>
          <w:rFonts w:asciiTheme="minorEastAsia" w:hAnsiTheme="minorEastAsia" w:eastAsiaTheme="minorEastAsia" w:cstheme="minorEastAsia"/>
          <w:b/>
          <w:bCs/>
          <w:sz w:val="28"/>
          <w:szCs w:val="28"/>
        </w:rPr>
        <w:t>（四）征求意见阶段（2025年3月14日——2025年4月12日）</w:t>
      </w:r>
    </w:p>
    <w:p w14:paraId="37FBB976">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1.公开征求意见。通过官方网站、行业会议、邮件列表等多种渠道，向社会公众、行业企业、相关机构公开征求对标准草案的意见。</w:t>
      </w:r>
    </w:p>
    <w:p w14:paraId="311193D1">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2.定向征求意见。向鞍钢、中兴、中科院等单位定向征求意见。</w:t>
      </w:r>
    </w:p>
    <w:p w14:paraId="46EF82F1">
      <w:pPr>
        <w:framePr w:wrap="auto" w:vAnchor="margin" w:hAnchor="text" w:yAlign="inline"/>
        <w:ind w:firstLine="562" w:firstLineChars="20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（五）意见处理表和标准修改完善（2025年5月-2026年3月）</w:t>
      </w:r>
    </w:p>
    <w:p w14:paraId="036118DB">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意见整理与分析。起草组对收到的反馈进行归纳整理，分析意见的合理性和可行性，并同步修改标准文本。</w:t>
      </w:r>
    </w:p>
    <w:p w14:paraId="0FD0E637">
      <w:pPr>
        <w:framePr w:wrap="auto" w:vAnchor="margin" w:hAnchor="text" w:yAlign="inline"/>
        <w:ind w:firstLine="562" w:firstLineChars="20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（六）二次征求意见阶段（2026年3月9日-2026年4月9日）</w:t>
      </w:r>
    </w:p>
    <w:p w14:paraId="5C4982F2">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公开征求意见。通过官方网站、行业会议、邮件列表等多种渠道，向社会公众、行业企业、相关机构公开征求对标准草案的意见。</w:t>
      </w:r>
    </w:p>
    <w:p w14:paraId="22CCE041">
      <w:pPr>
        <w:framePr w:wrap="auto" w:vAnchor="margin" w:hAnchor="text" w:yAlign="inline"/>
        <w:ind w:firstLine="562" w:firstLineChars="200"/>
        <w:rPr>
          <w:rFonts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（七）送审阶段（预计将于2026年4月进行标准审查）</w:t>
      </w:r>
    </w:p>
    <w:p w14:paraId="39CE2472">
      <w:pPr>
        <w:framePr w:wrap="auto" w:vAnchor="margin" w:hAnchor="text" w:yAlign="inline"/>
        <w:ind w:firstLine="560" w:firstLineChars="200"/>
        <w:rPr>
          <w:rFonts w:ascii="黑体" w:hAnsi="黑体" w:eastAsia="黑体" w:cs="黑体"/>
          <w:sz w:val="28"/>
          <w:szCs w:val="28"/>
        </w:rPr>
      </w:pPr>
      <w:r>
        <w:rPr>
          <w:rFonts w:ascii="黑体" w:hAnsi="黑体" w:eastAsia="黑体" w:cs="黑体"/>
          <w:sz w:val="28"/>
          <w:szCs w:val="28"/>
        </w:rPr>
        <w:t>四、标准</w:t>
      </w:r>
      <w:r>
        <w:rPr>
          <w:rFonts w:hint="cs" w:ascii="黑体" w:hAnsi="黑体" w:eastAsia="黑体" w:cs="黑体"/>
          <w:sz w:val="28"/>
          <w:szCs w:val="28"/>
        </w:rPr>
        <w:t>编制原则、主要内容</w:t>
      </w:r>
    </w:p>
    <w:p w14:paraId="3459031B">
      <w:pPr>
        <w:framePr w:wrap="auto" w:vAnchor="margin" w:hAnchor="text" w:yAlign="inline"/>
        <w:ind w:firstLine="562" w:firstLineChars="20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（一）编制原则</w:t>
      </w:r>
    </w:p>
    <w:p w14:paraId="6D6B5472">
      <w:pPr>
        <w:framePr w:wrap="auto" w:vAnchor="margin" w:hAnchor="text" w:yAlign="inline"/>
        <w:ind w:firstLine="560" w:firstLineChars="200"/>
        <w:rPr>
          <w:rFonts w:hint="default" w:ascii="宋体" w:hAnsi="宋体" w:eastAsia="宋体" w:cs="宋体"/>
          <w:sz w:val="28"/>
          <w:szCs w:val="28"/>
        </w:rPr>
      </w:pPr>
      <w:r>
        <w:rPr>
          <w:rFonts w:hint="cs" w:ascii="宋体" w:hAnsi="宋体" w:eastAsia="宋体" w:cs="宋体"/>
          <w:sz w:val="28"/>
          <w:szCs w:val="28"/>
        </w:rPr>
        <w:t>本文件</w:t>
      </w:r>
      <w:r>
        <w:rPr>
          <w:rFonts w:ascii="宋体" w:hAnsi="宋体" w:eastAsia="宋体" w:cs="宋体"/>
          <w:sz w:val="28"/>
          <w:szCs w:val="28"/>
        </w:rPr>
        <w:t>的编制</w:t>
      </w:r>
      <w:r>
        <w:rPr>
          <w:rFonts w:hint="default" w:ascii="宋体" w:hAnsi="宋体" w:eastAsia="宋体" w:cs="宋体"/>
          <w:sz w:val="28"/>
          <w:szCs w:val="28"/>
        </w:rPr>
        <w:t>遵循</w:t>
      </w:r>
      <w:r>
        <w:rPr>
          <w:rFonts w:ascii="宋体" w:hAnsi="宋体" w:eastAsia="宋体" w:cs="宋体"/>
          <w:sz w:val="28"/>
          <w:szCs w:val="28"/>
        </w:rPr>
        <w:t>“科学性、</w:t>
      </w:r>
      <w:r>
        <w:rPr>
          <w:rFonts w:hint="cs" w:ascii="宋体" w:hAnsi="宋体" w:eastAsia="宋体" w:cs="宋体"/>
          <w:sz w:val="28"/>
          <w:szCs w:val="28"/>
        </w:rPr>
        <w:t>协调统一、</w:t>
      </w:r>
      <w:r>
        <w:rPr>
          <w:rFonts w:ascii="宋体" w:hAnsi="宋体" w:eastAsia="宋体" w:cs="宋体"/>
          <w:sz w:val="28"/>
          <w:szCs w:val="28"/>
        </w:rPr>
        <w:t>实践性和适用性、规范性”</w:t>
      </w:r>
      <w:r>
        <w:rPr>
          <w:rFonts w:hint="cs" w:ascii="宋体" w:hAnsi="宋体" w:eastAsia="宋体" w:cs="宋体"/>
          <w:sz w:val="28"/>
          <w:szCs w:val="28"/>
        </w:rPr>
        <w:t>的原则</w:t>
      </w:r>
      <w:r>
        <w:rPr>
          <w:rFonts w:ascii="宋体" w:hAnsi="宋体" w:eastAsia="宋体" w:cs="宋体"/>
          <w:sz w:val="28"/>
          <w:szCs w:val="28"/>
        </w:rPr>
        <w:t>。</w:t>
      </w:r>
    </w:p>
    <w:p w14:paraId="6AA30369">
      <w:pPr>
        <w:pStyle w:val="31"/>
        <w:framePr w:wrap="auto" w:vAnchor="margin" w:hAnchor="text" w:yAlign="inline"/>
        <w:numPr>
          <w:ilvl w:val="0"/>
          <w:numId w:val="9"/>
        </w:numPr>
        <w:ind w:firstLineChars="0"/>
        <w:rPr>
          <w:rFonts w:hint="default" w:ascii="宋体" w:hAnsi="宋体" w:eastAsia="宋体" w:cs="宋体"/>
          <w:b/>
          <w:bCs/>
          <w:sz w:val="28"/>
          <w:szCs w:val="28"/>
        </w:rPr>
      </w:pPr>
      <w:r>
        <w:rPr>
          <w:rFonts w:ascii="宋体" w:hAnsi="宋体" w:eastAsia="宋体" w:cs="宋体"/>
          <w:b/>
          <w:bCs/>
          <w:sz w:val="28"/>
          <w:szCs w:val="28"/>
        </w:rPr>
        <w:t>科学性原则</w:t>
      </w:r>
    </w:p>
    <w:p w14:paraId="153F3CFF">
      <w:pPr>
        <w:framePr w:wrap="auto" w:vAnchor="margin" w:hAnchor="text" w:yAlign="inline"/>
        <w:ind w:firstLine="560" w:firstLineChars="200"/>
        <w:rPr>
          <w:rFonts w:asciiTheme="minorEastAsia" w:hAnsiTheme="minorEastAsia" w:eastAsiaTheme="minorEastAsia" w:cstheme="minorEastAsia"/>
          <w:sz w:val="28"/>
          <w:szCs w:val="28"/>
        </w:rPr>
      </w:pPr>
      <w:r>
        <w:rPr>
          <w:rFonts w:hint="cs" w:asciiTheme="minorEastAsia" w:hAnsiTheme="minorEastAsia" w:eastAsiaTheme="minorEastAsia" w:cstheme="minorEastAsia"/>
          <w:sz w:val="28"/>
          <w:szCs w:val="28"/>
        </w:rPr>
        <w:t>充分研究、分析</w:t>
      </w:r>
      <w:r>
        <w:rPr>
          <w:rFonts w:asciiTheme="minorEastAsia" w:hAnsiTheme="minorEastAsia" w:eastAsiaTheme="minorEastAsia" w:cstheme="minorEastAsia"/>
          <w:sz w:val="28"/>
          <w:szCs w:val="28"/>
        </w:rPr>
        <w:t>基于产业链的供应链合作</w:t>
      </w:r>
      <w:r>
        <w:rPr>
          <w:rFonts w:hint="cs" w:asciiTheme="minorEastAsia" w:hAnsiTheme="minorEastAsia" w:eastAsiaTheme="minorEastAsia" w:cstheme="minorEastAsia"/>
          <w:sz w:val="28"/>
          <w:szCs w:val="28"/>
        </w:rPr>
        <w:t>发展现状和标准化需求，确保标准结构完整、内容科学。</w:t>
      </w:r>
    </w:p>
    <w:p w14:paraId="5DDD5D13">
      <w:pPr>
        <w:pStyle w:val="31"/>
        <w:framePr w:wrap="auto" w:vAnchor="margin" w:hAnchor="text" w:yAlign="inline"/>
        <w:numPr>
          <w:ilvl w:val="0"/>
          <w:numId w:val="9"/>
        </w:numPr>
        <w:ind w:firstLineChars="0"/>
        <w:rPr>
          <w:rFonts w:hint="default" w:ascii="宋体" w:hAnsi="宋体" w:eastAsia="宋体" w:cs="宋体"/>
          <w:b/>
          <w:bCs/>
          <w:sz w:val="28"/>
          <w:szCs w:val="28"/>
        </w:rPr>
      </w:pPr>
      <w:r>
        <w:rPr>
          <w:rFonts w:hint="cs" w:ascii="宋体" w:hAnsi="宋体" w:eastAsia="宋体" w:cs="宋体"/>
          <w:b/>
          <w:bCs/>
          <w:sz w:val="28"/>
          <w:szCs w:val="28"/>
        </w:rPr>
        <w:t>协调统一</w:t>
      </w:r>
      <w:r>
        <w:rPr>
          <w:rFonts w:ascii="宋体" w:hAnsi="宋体" w:eastAsia="宋体" w:cs="宋体"/>
          <w:b/>
          <w:bCs/>
          <w:sz w:val="28"/>
          <w:szCs w:val="28"/>
        </w:rPr>
        <w:t>原则</w:t>
      </w:r>
    </w:p>
    <w:p w14:paraId="46727B0B">
      <w:pPr>
        <w:framePr w:wrap="auto" w:vAnchor="margin" w:hAnchor="text" w:yAlign="inline"/>
        <w:ind w:firstLine="560" w:firstLineChars="200"/>
        <w:rPr>
          <w:rFonts w:ascii="宋体" w:hAnsi="宋体" w:eastAsia="宋体" w:cs="宋体"/>
          <w:b/>
          <w:bCs/>
          <w:sz w:val="28"/>
          <w:szCs w:val="28"/>
        </w:rPr>
      </w:pPr>
      <w:r>
        <w:rPr>
          <w:rFonts w:hint="cs" w:asciiTheme="minorEastAsia" w:hAnsiTheme="minorEastAsia" w:eastAsiaTheme="minorEastAsia" w:cstheme="minorEastAsia"/>
          <w:sz w:val="28"/>
          <w:szCs w:val="28"/>
        </w:rPr>
        <w:t>遵循</w:t>
      </w:r>
      <w:r>
        <w:rPr>
          <w:rFonts w:hint="default" w:asciiTheme="minorEastAsia" w:hAnsiTheme="minorEastAsia" w:eastAsiaTheme="minorEastAsia" w:cstheme="minorEastAsia"/>
          <w:sz w:val="28"/>
          <w:szCs w:val="28"/>
        </w:rPr>
        <w:t>GB/Z 41838(采标ISO/TR 44000)给出的十二项原则，</w:t>
      </w:r>
      <w:r>
        <w:rPr>
          <w:rFonts w:asciiTheme="minorEastAsia" w:hAnsiTheme="minorEastAsia" w:eastAsiaTheme="minorEastAsia" w:cstheme="minorEastAsia"/>
          <w:sz w:val="28"/>
          <w:szCs w:val="28"/>
        </w:rPr>
        <w:t>指导基于产业链的供应链合作。</w:t>
      </w:r>
    </w:p>
    <w:p w14:paraId="7E76C6B8">
      <w:pPr>
        <w:pStyle w:val="31"/>
        <w:framePr w:wrap="auto" w:vAnchor="margin" w:hAnchor="text" w:yAlign="inline"/>
        <w:numPr>
          <w:ilvl w:val="0"/>
          <w:numId w:val="9"/>
        </w:numPr>
        <w:ind w:firstLineChars="0"/>
        <w:rPr>
          <w:rFonts w:hint="default" w:ascii="宋体" w:hAnsi="宋体" w:eastAsia="宋体" w:cs="宋体"/>
          <w:b/>
          <w:bCs/>
          <w:sz w:val="28"/>
          <w:szCs w:val="28"/>
        </w:rPr>
      </w:pPr>
      <w:r>
        <w:rPr>
          <w:rFonts w:ascii="宋体" w:hAnsi="宋体" w:eastAsia="宋体" w:cs="宋体"/>
          <w:b/>
          <w:bCs/>
          <w:sz w:val="28"/>
          <w:szCs w:val="28"/>
        </w:rPr>
        <w:t>实践性和适用性原则</w:t>
      </w:r>
    </w:p>
    <w:p w14:paraId="258B683F">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分析各类供应链、产业链以及供应链合作</w:t>
      </w:r>
      <w:r>
        <w:rPr>
          <w:rFonts w:hint="cs" w:asciiTheme="minorEastAsia" w:hAnsiTheme="minorEastAsia" w:eastAsiaTheme="minorEastAsia" w:cstheme="minorEastAsia"/>
          <w:sz w:val="28"/>
          <w:szCs w:val="28"/>
        </w:rPr>
        <w:t>的共性特点，充分考虑</w:t>
      </w:r>
      <w:r>
        <w:rPr>
          <w:rFonts w:asciiTheme="minorEastAsia" w:hAnsiTheme="minorEastAsia" w:eastAsiaTheme="minorEastAsia" w:cstheme="minorEastAsia"/>
          <w:sz w:val="28"/>
          <w:szCs w:val="28"/>
        </w:rPr>
        <w:t>基于产业链的供应链合作的</w:t>
      </w:r>
      <w:r>
        <w:rPr>
          <w:rFonts w:hint="cs" w:asciiTheme="minorEastAsia" w:hAnsiTheme="minorEastAsia" w:eastAsiaTheme="minorEastAsia" w:cstheme="minorEastAsia"/>
          <w:sz w:val="28"/>
          <w:szCs w:val="28"/>
        </w:rPr>
        <w:t>实际发展状况和标准化需求，增强标准的可操作性和适用性。</w:t>
      </w:r>
    </w:p>
    <w:p w14:paraId="12162FB2">
      <w:pPr>
        <w:pStyle w:val="31"/>
        <w:framePr w:wrap="auto" w:vAnchor="margin" w:hAnchor="text" w:yAlign="inline"/>
        <w:numPr>
          <w:ilvl w:val="0"/>
          <w:numId w:val="9"/>
        </w:numPr>
        <w:ind w:firstLineChars="0"/>
        <w:rPr>
          <w:rFonts w:ascii="宋体" w:hAnsi="宋体" w:eastAsia="宋体" w:cs="宋体"/>
          <w:b/>
          <w:bCs/>
          <w:sz w:val="28"/>
          <w:szCs w:val="28"/>
        </w:rPr>
      </w:pPr>
      <w:r>
        <w:rPr>
          <w:rFonts w:ascii="宋体" w:hAnsi="宋体" w:eastAsia="宋体" w:cs="宋体"/>
          <w:b/>
          <w:bCs/>
          <w:sz w:val="28"/>
          <w:szCs w:val="28"/>
        </w:rPr>
        <w:t>规范性原则</w:t>
      </w:r>
    </w:p>
    <w:p w14:paraId="6A3D9086">
      <w:pPr>
        <w:framePr w:wrap="auto" w:vAnchor="margin" w:hAnchor="text" w:yAlign="inline"/>
        <w:ind w:firstLine="560" w:firstLineChars="200"/>
        <w:rPr>
          <w:rFonts w:asciiTheme="minorEastAsia" w:hAnsiTheme="minorEastAsia" w:eastAsiaTheme="minorEastAsia" w:cstheme="minorEastAsia"/>
          <w:sz w:val="28"/>
          <w:szCs w:val="28"/>
        </w:rPr>
      </w:pPr>
      <w:r>
        <w:rPr>
          <w:rFonts w:hint="cs" w:asciiTheme="minorEastAsia" w:hAnsiTheme="minorEastAsia" w:eastAsiaTheme="minorEastAsia" w:cstheme="minorEastAsia"/>
          <w:sz w:val="28"/>
          <w:szCs w:val="28"/>
        </w:rPr>
        <w:t>标准主要构成及其内容、条文的编排、数值及其修约、符号、表格、标点符号、字体等符合</w:t>
      </w:r>
      <w:r>
        <w:rPr>
          <w:rFonts w:hint="default" w:asciiTheme="minorEastAsia" w:hAnsiTheme="minorEastAsia" w:eastAsiaTheme="minorEastAsia" w:cstheme="minorEastAsia"/>
          <w:sz w:val="28"/>
          <w:szCs w:val="28"/>
        </w:rPr>
        <w:t>GB/T 1.1—2020《标准化工作导则 第1部分：标准化文件的结构和起草规则》的规定。</w:t>
      </w:r>
    </w:p>
    <w:p w14:paraId="03503C29">
      <w:pPr>
        <w:framePr w:wrap="auto" w:vAnchor="margin" w:hAnchor="text" w:yAlign="inline"/>
        <w:numPr>
          <w:ilvl w:val="0"/>
          <w:numId w:val="10"/>
        </w:numPr>
        <w:ind w:firstLine="562" w:firstLineChars="200"/>
        <w:rPr>
          <w:rFonts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主要技术内容</w:t>
      </w:r>
    </w:p>
    <w:p w14:paraId="01C881F2">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hint="cs" w:asciiTheme="minorEastAsia" w:hAnsiTheme="minorEastAsia" w:eastAsiaTheme="minorEastAsia" w:cstheme="minorEastAsia"/>
          <w:sz w:val="28"/>
          <w:szCs w:val="28"/>
        </w:rPr>
        <w:t>本文件主要包括范围、规范性引用文件、术语和定义、基于产业链的供应链的构成与角色</w:t>
      </w:r>
      <w:r>
        <w:rPr>
          <w:rFonts w:asciiTheme="minorEastAsia" w:hAnsiTheme="minorEastAsia" w:eastAsiaTheme="minorEastAsia" w:cstheme="minorEastAsia"/>
          <w:sz w:val="28"/>
          <w:szCs w:val="28"/>
        </w:rPr>
        <w:t>、</w:t>
      </w:r>
      <w:r>
        <w:rPr>
          <w:rFonts w:hint="cs" w:asciiTheme="minorEastAsia" w:hAnsiTheme="minorEastAsia" w:eastAsiaTheme="minorEastAsia" w:cstheme="minorEastAsia"/>
          <w:sz w:val="28"/>
          <w:szCs w:val="28"/>
        </w:rPr>
        <w:t>基于产业链的供应链合作原则与框架</w:t>
      </w:r>
      <w:r>
        <w:rPr>
          <w:rFonts w:asciiTheme="minorEastAsia" w:hAnsiTheme="minorEastAsia" w:eastAsiaTheme="minorEastAsia" w:cstheme="minorEastAsia"/>
          <w:sz w:val="28"/>
          <w:szCs w:val="28"/>
        </w:rPr>
        <w:t>、关系管理、愿景和价值观、业务目标、合作的领导作用、治理和过程、合作能力和行为、互信与共同获益承诺、价值创造、信息和知识共享、风险管理、关系测量和优化、退出策略、案例实践</w:t>
      </w:r>
      <w:r>
        <w:rPr>
          <w:rFonts w:hint="cs" w:asciiTheme="minorEastAsia" w:hAnsiTheme="minorEastAsia" w:eastAsiaTheme="minorEastAsia" w:cstheme="minorEastAsia"/>
          <w:sz w:val="28"/>
          <w:szCs w:val="28"/>
        </w:rPr>
        <w:t>等</w:t>
      </w:r>
      <w:r>
        <w:rPr>
          <w:rFonts w:asciiTheme="minorEastAsia" w:hAnsiTheme="minorEastAsia" w:eastAsiaTheme="minorEastAsia" w:cstheme="minorEastAsia"/>
          <w:sz w:val="28"/>
          <w:szCs w:val="28"/>
        </w:rPr>
        <w:t>十八</w:t>
      </w:r>
      <w:r>
        <w:rPr>
          <w:rFonts w:hint="cs" w:asciiTheme="minorEastAsia" w:hAnsiTheme="minorEastAsia" w:eastAsiaTheme="minorEastAsia" w:cstheme="minorEastAsia"/>
          <w:sz w:val="28"/>
          <w:szCs w:val="28"/>
        </w:rPr>
        <w:t>章技术内容，以及</w:t>
      </w:r>
      <w:r>
        <w:rPr>
          <w:rFonts w:asciiTheme="minorEastAsia" w:hAnsiTheme="minorEastAsia" w:eastAsiaTheme="minorEastAsia" w:cstheme="minorEastAsia"/>
          <w:sz w:val="28"/>
          <w:szCs w:val="28"/>
        </w:rPr>
        <w:t>先进制造链、清洁能源链、智能汽车链、数字科技链、健康生活链、绿色农业链企业供应链合作实践案例等6个</w:t>
      </w:r>
      <w:r>
        <w:rPr>
          <w:rFonts w:hint="cs" w:asciiTheme="minorEastAsia" w:hAnsiTheme="minorEastAsia" w:eastAsiaTheme="minorEastAsia" w:cstheme="minorEastAsia"/>
          <w:sz w:val="28"/>
          <w:szCs w:val="28"/>
        </w:rPr>
        <w:t>资料性附录。</w:t>
      </w:r>
    </w:p>
    <w:p w14:paraId="04B5DC67">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范围</w:t>
      </w:r>
    </w:p>
    <w:p w14:paraId="4DD72B77">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hint="cs" w:asciiTheme="minorEastAsia" w:hAnsiTheme="minorEastAsia" w:eastAsiaTheme="minorEastAsia" w:cstheme="minorEastAsia"/>
          <w:sz w:val="28"/>
          <w:szCs w:val="28"/>
        </w:rPr>
        <w:t>本文件明确了基于产业链的供应链的构成和角色、合作原则和框架，给出了基于产业链的供应链成员实施关系管理、愿景和价值观、业务目标、合作的领导作用、治理和过程、合作能力和行为、互信与共同获益承诺、价值创造、信息和知识共享、风险管理、关系测量和优化、退出策略等十二项原则的建议，并给出了特定产业链的供应链合作案例。</w:t>
      </w:r>
    </w:p>
    <w:p w14:paraId="1818567D">
      <w:pPr>
        <w:framePr w:wrap="auto" w:vAnchor="margin" w:hAnchor="text" w:yAlign="inline"/>
        <w:ind w:firstLine="560" w:firstLineChars="200"/>
        <w:rPr>
          <w:rFonts w:asciiTheme="minorEastAsia" w:hAnsiTheme="minorEastAsia" w:eastAsiaTheme="minorEastAsia" w:cstheme="minorEastAsia"/>
          <w:sz w:val="28"/>
          <w:szCs w:val="28"/>
        </w:rPr>
      </w:pPr>
      <w:r>
        <w:rPr>
          <w:rFonts w:hint="cs" w:asciiTheme="minorEastAsia" w:hAnsiTheme="minorEastAsia" w:eastAsiaTheme="minorEastAsia" w:cstheme="minorEastAsia"/>
          <w:sz w:val="28"/>
          <w:szCs w:val="28"/>
        </w:rPr>
        <w:t>本文件适用于供应链链主企业、上游企业、中游企业和下游企业之间的合作活动。</w:t>
      </w:r>
    </w:p>
    <w:p w14:paraId="7A008E75">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hint="cs" w:asciiTheme="minorEastAsia" w:hAnsiTheme="minorEastAsia" w:eastAsiaTheme="minorEastAsia" w:cstheme="minorEastAsia"/>
          <w:b/>
          <w:bCs/>
          <w:sz w:val="28"/>
          <w:szCs w:val="28"/>
        </w:rPr>
        <w:t>规范性引用文件</w:t>
      </w:r>
    </w:p>
    <w:p w14:paraId="4E7E9426">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本文件规范性引用</w:t>
      </w:r>
      <w:r>
        <w:rPr>
          <w:rFonts w:hint="default" w:asciiTheme="minorEastAsia" w:hAnsiTheme="minorEastAsia" w:eastAsiaTheme="minorEastAsia" w:cstheme="minorEastAsia"/>
          <w:sz w:val="28"/>
          <w:szCs w:val="28"/>
        </w:rPr>
        <w:t>GB/Z 41838</w:t>
      </w: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成功的合作业务关系管理原则</w:t>
      </w:r>
      <w:r>
        <w:rPr>
          <w:rFonts w:asciiTheme="minorEastAsia" w:hAnsiTheme="minorEastAsia" w:eastAsiaTheme="minorEastAsia" w:cstheme="minorEastAsia"/>
          <w:sz w:val="28"/>
          <w:szCs w:val="28"/>
        </w:rPr>
        <w:t>》。</w:t>
      </w:r>
    </w:p>
    <w:p w14:paraId="205932A9">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hint="cs" w:asciiTheme="minorEastAsia" w:hAnsiTheme="minorEastAsia" w:eastAsiaTheme="minorEastAsia" w:cstheme="minorEastAsia"/>
          <w:b/>
          <w:bCs/>
          <w:sz w:val="28"/>
          <w:szCs w:val="28"/>
        </w:rPr>
        <w:t>术语和定义</w:t>
      </w:r>
    </w:p>
    <w:p w14:paraId="5AAEAF1C">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本章给出了产业链、供应链、供应链合作、供应链合作关系、基于产业链的供应链合作等术语和定义。</w:t>
      </w:r>
    </w:p>
    <w:p w14:paraId="56ACE8A4">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hint="cs" w:asciiTheme="minorEastAsia" w:hAnsiTheme="minorEastAsia" w:eastAsiaTheme="minorEastAsia" w:cstheme="minorEastAsia"/>
          <w:b/>
          <w:bCs/>
          <w:sz w:val="28"/>
          <w:szCs w:val="28"/>
        </w:rPr>
        <w:t>基于产业链的供应链的构成与角色</w:t>
      </w:r>
    </w:p>
    <w:p w14:paraId="5114BB16">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本章给出了基于产业链的供应链构成，包括供应链链主企业、供应链上游企业、供应链中游企业、供应链下游企业，并界定了其内涵和角色。</w:t>
      </w:r>
    </w:p>
    <w:p w14:paraId="6AAF646F">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hint="cs" w:asciiTheme="minorEastAsia" w:hAnsiTheme="minorEastAsia" w:eastAsiaTheme="minorEastAsia" w:cstheme="minorEastAsia"/>
          <w:b/>
          <w:bCs/>
          <w:sz w:val="28"/>
          <w:szCs w:val="28"/>
        </w:rPr>
        <w:t>基于产业链的供应链合作原则与框架</w:t>
      </w:r>
    </w:p>
    <w:p w14:paraId="3F980186">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w:t>
      </w:r>
      <w:r>
        <w:rPr>
          <w:rFonts w:hint="default" w:asciiTheme="minorEastAsia" w:hAnsiTheme="minorEastAsia" w:eastAsiaTheme="minorEastAsia" w:cstheme="minorEastAsia"/>
          <w:sz w:val="28"/>
          <w:szCs w:val="28"/>
        </w:rPr>
        <w:t>基于产业链的供应链合作原则</w:t>
      </w:r>
      <w:r>
        <w:rPr>
          <w:rFonts w:asciiTheme="minorEastAsia" w:hAnsiTheme="minorEastAsia" w:eastAsiaTheme="minorEastAsia" w:cstheme="minorEastAsia"/>
          <w:sz w:val="28"/>
          <w:szCs w:val="28"/>
        </w:rPr>
        <w:t>，即</w:t>
      </w:r>
      <w:r>
        <w:rPr>
          <w:rFonts w:hint="cs" w:asciiTheme="minorEastAsia" w:hAnsiTheme="minorEastAsia" w:eastAsiaTheme="minorEastAsia" w:cstheme="minorEastAsia"/>
          <w:sz w:val="28"/>
          <w:szCs w:val="28"/>
        </w:rPr>
        <w:t>遵循</w:t>
      </w:r>
      <w:r>
        <w:rPr>
          <w:rFonts w:hint="default" w:asciiTheme="minorEastAsia" w:hAnsiTheme="minorEastAsia" w:eastAsiaTheme="minorEastAsia" w:cstheme="minorEastAsia"/>
          <w:sz w:val="28"/>
          <w:szCs w:val="28"/>
        </w:rPr>
        <w:t>GB/T 41838给出的合作原则：</w:t>
      </w:r>
    </w:p>
    <w:p w14:paraId="457F4ED1">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关系管理：以规范化过程来管理和维护合作关系有助于成功。</w:t>
      </w:r>
    </w:p>
    <w:p w14:paraId="3FFF794C">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愿景和价值观：有合作意向的组织的愿景和价值观,将对合作的有效性产生影响。</w:t>
      </w:r>
    </w:p>
    <w:p w14:paraId="46DD3C7D">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业务目标：只有当合作的驱动因素足以支撑每个合作伙伴组织的业务目标时,合作关系才有意义。</w:t>
      </w:r>
    </w:p>
    <w:p w14:paraId="3066661F">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合作的领导作用：高级领导责任制和运行领导问责制对于建立成功的合作关系至关重要。</w:t>
      </w:r>
    </w:p>
    <w:p w14:paraId="63687D84">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治理和过程：组织之间的关系,需要支持合作决策的治理结构来确保成功。</w:t>
      </w:r>
    </w:p>
    <w:p w14:paraId="3AA40B05">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合作能力和行为：建立和发展合作行为、技能和能力,将显著加强组织之间的关系。</w:t>
      </w:r>
    </w:p>
    <w:p w14:paraId="42477F08">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互信与共同获益承诺：互信与共同获益承诺对充分发挥合作业务关系的潜力,具有至关重要的作用。</w:t>
      </w:r>
    </w:p>
    <w:p w14:paraId="4BE122EF">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价值创造：价值创造是任何合作的核心,在最初目标之外寻求附加价值,能使合作关系更加可持续。</w:t>
      </w:r>
    </w:p>
    <w:p w14:paraId="1705FA2D">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信息和知识共享：信息和知识的合理共享及管理,是有效</w:t>
      </w:r>
      <w:r>
        <w:rPr>
          <w:rFonts w:asciiTheme="minorEastAsia" w:hAnsiTheme="minorEastAsia" w:eastAsiaTheme="minorEastAsia" w:cstheme="minorEastAsia"/>
          <w:sz w:val="28"/>
          <w:szCs w:val="28"/>
        </w:rPr>
        <w:t>合作的关键要素。</w:t>
      </w:r>
    </w:p>
    <w:p w14:paraId="5B5B5189">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风险管理：风险管理是合作关系的一个关键方面,因为威胁和机遇将影响个人和组织的行为。</w:t>
      </w:r>
    </w:p>
    <w:p w14:paraId="5953CFA8">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关系测量和优化：测量合作关系的健康状况,对于不断提高组织绩效和能力以创造价值、实现业务目标至关重要。</w:t>
      </w:r>
    </w:p>
    <w:p w14:paraId="480D0FC9">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heme="minorEastAsia" w:hAnsiTheme="minorEastAsia" w:eastAsiaTheme="minorEastAsia" w:cstheme="minorEastAsia"/>
          <w:sz w:val="28"/>
          <w:szCs w:val="28"/>
        </w:rPr>
        <w:t>退出策略：商定的退出策略消除了不确定性,增强了共同参与性。</w:t>
      </w:r>
    </w:p>
    <w:p w14:paraId="21D7DF9F">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w:t>
      </w:r>
      <w:r>
        <w:rPr>
          <w:rFonts w:hint="default" w:asciiTheme="minorEastAsia" w:hAnsiTheme="minorEastAsia" w:eastAsiaTheme="minorEastAsia" w:cstheme="minorEastAsia"/>
          <w:sz w:val="28"/>
          <w:szCs w:val="28"/>
        </w:rPr>
        <w:t>基于产业链的供应链合作</w:t>
      </w:r>
      <w:r>
        <w:rPr>
          <w:rFonts w:asciiTheme="minorEastAsia" w:hAnsiTheme="minorEastAsia" w:eastAsiaTheme="minorEastAsia" w:cstheme="minorEastAsia"/>
          <w:sz w:val="28"/>
          <w:szCs w:val="28"/>
        </w:rPr>
        <w:t>框架，即</w:t>
      </w:r>
      <w:r>
        <w:rPr>
          <w:rFonts w:hint="cs" w:asciiTheme="minorEastAsia" w:hAnsiTheme="minorEastAsia" w:eastAsiaTheme="minorEastAsia" w:cstheme="minorEastAsia"/>
          <w:sz w:val="28"/>
          <w:szCs w:val="28"/>
        </w:rPr>
        <w:t>基于</w:t>
      </w:r>
      <w:r>
        <w:rPr>
          <w:rFonts w:hint="default" w:asciiTheme="minorEastAsia" w:hAnsiTheme="minorEastAsia" w:eastAsiaTheme="minorEastAsia" w:cstheme="minorEastAsia"/>
          <w:sz w:val="28"/>
          <w:szCs w:val="28"/>
        </w:rPr>
        <w:t>GB/T 41838中给出的十二项合作业务关系管理原则，在综合考虑</w:t>
      </w:r>
      <w:r>
        <w:rPr>
          <w:rFonts w:asciiTheme="minorEastAsia" w:hAnsiTheme="minorEastAsia" w:eastAsiaTheme="minorEastAsia" w:cstheme="minorEastAsia"/>
          <w:sz w:val="28"/>
          <w:szCs w:val="28"/>
        </w:rPr>
        <w:t>合作目标、合作要素、合作节点、合作类型</w:t>
      </w:r>
      <w:r>
        <w:rPr>
          <w:rFonts w:hint="default" w:asciiTheme="minorEastAsia" w:hAnsiTheme="minorEastAsia" w:eastAsiaTheme="minorEastAsia" w:cstheme="minorEastAsia"/>
          <w:sz w:val="28"/>
          <w:szCs w:val="28"/>
        </w:rPr>
        <w:t>的基础上，按照</w:t>
      </w:r>
      <w:r>
        <w:rPr>
          <w:rFonts w:asciiTheme="minorEastAsia" w:hAnsiTheme="minorEastAsia" w:eastAsiaTheme="minorEastAsia" w:cstheme="minorEastAsia"/>
          <w:sz w:val="28"/>
          <w:szCs w:val="28"/>
        </w:rPr>
        <w:t>概述和实施路径</w:t>
      </w:r>
      <w:r>
        <w:rPr>
          <w:rFonts w:hint="default" w:asciiTheme="minorEastAsia" w:hAnsiTheme="minorEastAsia" w:eastAsiaTheme="minorEastAsia" w:cstheme="minorEastAsia"/>
          <w:sz w:val="28"/>
          <w:szCs w:val="28"/>
        </w:rPr>
        <w:t>的文本结构，给出十二项原则的实施路径。</w:t>
      </w:r>
    </w:p>
    <w:p w14:paraId="300AE88B">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关系管理</w:t>
      </w:r>
    </w:p>
    <w:p w14:paraId="421D9C64">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关系管理的内涵和主要内容，其实施路径包括制定关系管理制度文件、设立专职协调岗位或团队、建立常态化沟通与协调机制、制定合作周期的关系管理要点、构建合作档案和数据记录机制、引入关系健康度评价工具。</w:t>
      </w:r>
    </w:p>
    <w:p w14:paraId="25B01ACB">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愿景和价值观</w:t>
      </w:r>
    </w:p>
    <w:p w14:paraId="6A79A338">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愿景和价值观的内涵和主要内容，其实施路径包括共创合作愿景与核心价值观、制定价值观对其评估标准、实施价值观嵌入机制、构建价值观传播与共识机制、价值观冲突处理机制、价值观的持续评估与迭代。</w:t>
      </w:r>
    </w:p>
    <w:p w14:paraId="60ECC815">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业务目标</w:t>
      </w:r>
    </w:p>
    <w:p w14:paraId="208635FF">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业务目标的内涵和主要内容，其实施路径包括开展联合目标确认工作、制定目标分层与映射机制、将合作目标纳入关键绩效指标体系、建立动态目标管理机制、推动“共同目标+个人目标”双螺旋融合，将目标共识与契约性结合。</w:t>
      </w:r>
    </w:p>
    <w:p w14:paraId="769ABBBD">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合作的领导作用</w:t>
      </w:r>
    </w:p>
    <w:p w14:paraId="54EB4FFE">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合作的领导作用的内涵和主要内容，其实施路径包括明确高层支持与领导角色设置、设立联合领导小组或治理委员会、构建共创式领导文化、开展领导层间的互访与对标交流、赋能一线协同团队的领导力建设、设立领导层间的快速沟通与决策机制。</w:t>
      </w:r>
    </w:p>
    <w:p w14:paraId="7A4A9FA7">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治理和过程</w:t>
      </w:r>
    </w:p>
    <w:p w14:paraId="7D02A454">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本章给出了治理和过程的内涵和主要内容，其实施路径包括建立多层级合作治理架构、调整内部实践、确立整体治理模式、联合问题处理过程的采用、加强沟通策略、制定协议或合作安排。</w:t>
      </w:r>
    </w:p>
    <w:p w14:paraId="57C879C2">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合作能力和行为</w:t>
      </w:r>
    </w:p>
    <w:p w14:paraId="2FBA8FB6">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本章给出了合作能力和行为的内涵和主要内容，其实施路径包括建立协同能力框架、明确合作行为规范与准则、推动文化理解与互信建设、协同行为绩效考核机制、辅导与改进行为表现。</w:t>
      </w:r>
    </w:p>
    <w:p w14:paraId="68624339">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互信与共同获益承诺</w:t>
      </w:r>
    </w:p>
    <w:p w14:paraId="3742EA50">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本章给出了互信与共同获益承诺的内涵和主要内容，其实施路径包括建立信任的“初始机制”、</w:t>
      </w:r>
      <w:r>
        <w:rPr>
          <w:rFonts w:hint="default" w:asciiTheme="minorEastAsia" w:hAnsiTheme="minorEastAsia" w:eastAsiaTheme="minorEastAsia" w:cstheme="minorEastAsia"/>
          <w:sz w:val="28"/>
          <w:szCs w:val="28"/>
        </w:rPr>
        <w:t>推动行为层面的信任积累</w:t>
      </w:r>
      <w:r>
        <w:rPr>
          <w:rFonts w:asciiTheme="minorEastAsia" w:hAnsiTheme="minorEastAsia" w:eastAsiaTheme="minorEastAsia" w:cstheme="minorEastAsia"/>
          <w:sz w:val="28"/>
          <w:szCs w:val="28"/>
        </w:rPr>
        <w:t>、增强“软承诺”机制、预防和应对信任破裂风险、激励履约与互信行为、构建长期合作框架，稳定承诺基础。</w:t>
      </w:r>
    </w:p>
    <w:p w14:paraId="2002F181">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价值创造</w:t>
      </w:r>
    </w:p>
    <w:p w14:paraId="6512F3D3">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本章给出了价值创造的内涵和主要内容，其实施路径包括共建“价值地图”、协同开发新产品/服务/模式、推进共享收益机制、引入联合价值评价系统、打造价值共识文化、以价值为导向的长期合作机制。</w:t>
      </w:r>
    </w:p>
    <w:p w14:paraId="5499173C">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信息和知识共享</w:t>
      </w:r>
    </w:p>
    <w:p w14:paraId="2D55AC64">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信息和知识共享的内涵和主要内容，其实施路径包括构建共享导向的合作架构、分类建立共享内容清单、部署共享平台与工具、推动关键节点的信息集成共享、组织知识共享活动与共创机制、建立共享信任与</w:t>
      </w:r>
      <w:r>
        <w:rPr>
          <w:rFonts w:hint="eastAsia" w:asciiTheme="minorEastAsia" w:hAnsiTheme="minorEastAsia" w:eastAsiaTheme="minorEastAsia" w:cstheme="minorEastAsia"/>
          <w:sz w:val="28"/>
          <w:szCs w:val="28"/>
          <w:lang w:val="en-US" w:eastAsia="zh-CN"/>
        </w:rPr>
        <w:t>激励</w:t>
      </w:r>
      <w:r>
        <w:rPr>
          <w:rFonts w:asciiTheme="minorEastAsia" w:hAnsiTheme="minorEastAsia" w:eastAsiaTheme="minorEastAsia" w:cstheme="minorEastAsia"/>
          <w:sz w:val="28"/>
          <w:szCs w:val="28"/>
        </w:rPr>
        <w:t>机制。</w:t>
      </w:r>
    </w:p>
    <w:p w14:paraId="4A045635">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风险管理</w:t>
      </w:r>
    </w:p>
    <w:p w14:paraId="614AD17D">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本章给出了风险管理的内涵和主要内容，其实施路径包括构建联合风险管理框架、制定全链条风险分类清单、推动</w:t>
      </w:r>
      <w:r>
        <w:rPr>
          <w:rFonts w:hint="eastAsia" w:asciiTheme="minorEastAsia" w:hAnsiTheme="minorEastAsia" w:eastAsiaTheme="minorEastAsia" w:cstheme="minorEastAsia"/>
          <w:sz w:val="28"/>
          <w:szCs w:val="28"/>
          <w:lang w:val="en-US" w:eastAsia="zh-CN"/>
        </w:rPr>
        <w:t>风</w:t>
      </w:r>
      <w:r>
        <w:rPr>
          <w:rFonts w:asciiTheme="minorEastAsia" w:hAnsiTheme="minorEastAsia" w:eastAsiaTheme="minorEastAsia" w:cstheme="minorEastAsia"/>
          <w:sz w:val="28"/>
          <w:szCs w:val="28"/>
        </w:rPr>
        <w:t>险信息共享与早期预警、联合开展风险评估与应对演练、设立联合应急机制与资源池、推动风险责任共担与保险机制。</w:t>
      </w:r>
    </w:p>
    <w:p w14:paraId="02F34BE7">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关系测量和优化</w:t>
      </w:r>
    </w:p>
    <w:p w14:paraId="76E5F028">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本章给出了关系测量和优化的内涵和主要内容，其实施路径包括建立合作关系评价框架、推进定期双向评价机制、设立合作诊断制度、嵌入优化与复盘流程、以数据驱动关系演进。</w:t>
      </w:r>
    </w:p>
    <w:p w14:paraId="66389E8B">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退出策略</w:t>
      </w:r>
    </w:p>
    <w:p w14:paraId="0FB3E196">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退出策略的内涵和主要内容，其实施路径包括明确退出策略作为合作初期必要议题、构建退出路径、设立退出过渡机制与缓冲安排、评估退出影响与风险对冲策略、推动有尊严、有信任的合作终止文化、构建合作生命周期闭环管理机制。</w:t>
      </w:r>
    </w:p>
    <w:p w14:paraId="3BAF2AF2">
      <w:pPr>
        <w:pStyle w:val="31"/>
        <w:framePr w:wrap="auto" w:vAnchor="margin" w:hAnchor="text" w:yAlign="inline"/>
        <w:numPr>
          <w:ilvl w:val="0"/>
          <w:numId w:val="11"/>
        </w:numPr>
        <w:ind w:firstLineChars="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案例实践</w:t>
      </w:r>
    </w:p>
    <w:p w14:paraId="63EACADD">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本章给出了</w:t>
      </w:r>
      <w:r>
        <w:rPr>
          <w:rFonts w:hint="default" w:asciiTheme="minorEastAsia" w:hAnsiTheme="minorEastAsia" w:eastAsiaTheme="minorEastAsia" w:cstheme="minorEastAsia"/>
          <w:sz w:val="28"/>
          <w:szCs w:val="28"/>
        </w:rPr>
        <w:t>先进制造链、清洁能源链、智能汽车链、数字科技链、健康生活链、绿色农业链等6大链条</w:t>
      </w:r>
      <w:r>
        <w:rPr>
          <w:rFonts w:asciiTheme="minorEastAsia" w:hAnsiTheme="minorEastAsia" w:eastAsiaTheme="minorEastAsia" w:cstheme="minorEastAsia"/>
          <w:sz w:val="28"/>
          <w:szCs w:val="28"/>
        </w:rPr>
        <w:t>的内涵和主要内容，并引出对应的资料性附录。</w:t>
      </w:r>
    </w:p>
    <w:p w14:paraId="6BDB6403">
      <w:pPr>
        <w:framePr w:wrap="auto" w:vAnchor="margin" w:hAnchor="text" w:yAlign="inline"/>
        <w:ind w:left="56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资料性附录（A-F）</w:t>
      </w:r>
    </w:p>
    <w:p w14:paraId="54CAEEE2">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分别给出了先进制造链企业供应链合作实践案例、</w:t>
      </w:r>
      <w:r>
        <w:rPr>
          <w:rFonts w:hint="default" w:asciiTheme="minorEastAsia" w:hAnsiTheme="minorEastAsia" w:eastAsiaTheme="minorEastAsia" w:cstheme="minorEastAsia"/>
          <w:sz w:val="28"/>
          <w:szCs w:val="28"/>
        </w:rPr>
        <w:t>清洁能源链</w:t>
      </w:r>
      <w:r>
        <w:rPr>
          <w:rFonts w:asciiTheme="minorEastAsia" w:hAnsiTheme="minorEastAsia" w:eastAsiaTheme="minorEastAsia" w:cstheme="minorEastAsia"/>
          <w:sz w:val="28"/>
          <w:szCs w:val="28"/>
        </w:rPr>
        <w:t>企业供应链合作实践案例</w:t>
      </w:r>
      <w:r>
        <w:rPr>
          <w:rFonts w:hint="default" w:asciiTheme="minorEastAsia" w:hAnsiTheme="minorEastAsia" w:eastAsiaTheme="minorEastAsia" w:cstheme="minorEastAsia"/>
          <w:sz w:val="28"/>
          <w:szCs w:val="28"/>
        </w:rPr>
        <w:t>、智能汽车链</w:t>
      </w:r>
      <w:r>
        <w:rPr>
          <w:rFonts w:asciiTheme="minorEastAsia" w:hAnsiTheme="minorEastAsia" w:eastAsiaTheme="minorEastAsia" w:cstheme="minorEastAsia"/>
          <w:sz w:val="28"/>
          <w:szCs w:val="28"/>
        </w:rPr>
        <w:t>企业供应链合作实践案例</w:t>
      </w:r>
      <w:r>
        <w:rPr>
          <w:rFonts w:hint="default" w:asciiTheme="minorEastAsia" w:hAnsiTheme="minorEastAsia" w:eastAsiaTheme="minorEastAsia" w:cstheme="minorEastAsia"/>
          <w:sz w:val="28"/>
          <w:szCs w:val="28"/>
        </w:rPr>
        <w:t>、数字科技链</w:t>
      </w:r>
      <w:r>
        <w:rPr>
          <w:rFonts w:asciiTheme="minorEastAsia" w:hAnsiTheme="minorEastAsia" w:eastAsiaTheme="minorEastAsia" w:cstheme="minorEastAsia"/>
          <w:sz w:val="28"/>
          <w:szCs w:val="28"/>
        </w:rPr>
        <w:t>企业供应链合作实践案例</w:t>
      </w:r>
      <w:r>
        <w:rPr>
          <w:rFonts w:hint="default" w:asciiTheme="minorEastAsia" w:hAnsiTheme="minorEastAsia" w:eastAsiaTheme="minorEastAsia" w:cstheme="minorEastAsia"/>
          <w:sz w:val="28"/>
          <w:szCs w:val="28"/>
        </w:rPr>
        <w:t>、健康生活链</w:t>
      </w:r>
      <w:r>
        <w:rPr>
          <w:rFonts w:asciiTheme="minorEastAsia" w:hAnsiTheme="minorEastAsia" w:eastAsiaTheme="minorEastAsia" w:cstheme="minorEastAsia"/>
          <w:sz w:val="28"/>
          <w:szCs w:val="28"/>
        </w:rPr>
        <w:t>企业供应链合作实践案例</w:t>
      </w:r>
      <w:r>
        <w:rPr>
          <w:rFonts w:hint="default" w:asciiTheme="minorEastAsia" w:hAnsiTheme="minorEastAsia" w:eastAsiaTheme="minorEastAsia" w:cstheme="minorEastAsia"/>
          <w:sz w:val="28"/>
          <w:szCs w:val="28"/>
        </w:rPr>
        <w:t>、绿色农业链</w:t>
      </w:r>
      <w:r>
        <w:rPr>
          <w:rFonts w:asciiTheme="minorEastAsia" w:hAnsiTheme="minorEastAsia" w:eastAsiaTheme="minorEastAsia" w:cstheme="minorEastAsia"/>
          <w:sz w:val="28"/>
          <w:szCs w:val="28"/>
        </w:rPr>
        <w:t>企业供应链合作实践案例。</w:t>
      </w:r>
    </w:p>
    <w:p w14:paraId="5BB54E30">
      <w:pPr>
        <w:framePr w:wrap="auto" w:vAnchor="margin" w:hAnchor="text" w:yAlign="inline"/>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w:t>
      </w:r>
      <w:r>
        <w:rPr>
          <w:rFonts w:ascii="黑体" w:hAnsi="黑体" w:eastAsia="黑体" w:cs="黑体"/>
          <w:sz w:val="28"/>
          <w:szCs w:val="28"/>
        </w:rPr>
        <w:t>与有关的现行法律法规和强制性国家标准的关系</w:t>
      </w:r>
    </w:p>
    <w:p w14:paraId="65E5A999">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1.规范性引用了下列标准：</w:t>
      </w:r>
    </w:p>
    <w:p w14:paraId="0AA64CA5">
      <w:pPr>
        <w:framePr w:wrap="auto" w:vAnchor="margin" w:hAnchor="text" w:yAlign="inline"/>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GB/Z 41838《成功的合作业务关系管理原则》</w:t>
      </w:r>
    </w:p>
    <w:p w14:paraId="71ADC400">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2.参考了下列标准的内容：</w:t>
      </w:r>
    </w:p>
    <w:p w14:paraId="531D751A">
      <w:pPr>
        <w:framePr w:wrap="auto" w:vAnchor="margin" w:hAnchor="text" w:yAlign="inline"/>
        <w:ind w:firstLine="560" w:firstLineChars="200"/>
        <w:rPr>
          <w:rFonts w:hint="default" w:ascii="Times New Roman" w:hAnsi="Times New Roman" w:cs="Times New Roman" w:eastAsiaTheme="minorEastAsia"/>
          <w:sz w:val="28"/>
          <w:szCs w:val="28"/>
        </w:rPr>
      </w:pPr>
      <w:r>
        <w:rPr>
          <w:rFonts w:hint="cs" w:ascii="Times New Roman" w:hAnsi="Times New Roman" w:cs="Times New Roman" w:eastAsiaTheme="minorEastAsia"/>
          <w:sz w:val="28"/>
          <w:szCs w:val="28"/>
        </w:rPr>
        <w:t>《全球供应链促进报告</w:t>
      </w:r>
      <w:r>
        <w:rPr>
          <w:rFonts w:hint="default" w:ascii="Times New Roman" w:hAnsi="Times New Roman" w:cs="Times New Roman" w:eastAsiaTheme="minorEastAsia"/>
          <w:sz w:val="28"/>
          <w:szCs w:val="28"/>
        </w:rPr>
        <w:t>(2023)》</w:t>
      </w:r>
    </w:p>
    <w:p w14:paraId="376E0026">
      <w:pPr>
        <w:framePr w:wrap="auto" w:vAnchor="margin" w:hAnchor="text" w:yAlign="inline"/>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GB/T 43834 《协作业务关系管理 大型组织寻求与中小微企业(MSMEs)协作的指南》</w:t>
      </w:r>
    </w:p>
    <w:p w14:paraId="3175111A">
      <w:pPr>
        <w:framePr w:wrap="auto" w:vAnchor="margin" w:hAnchor="text" w:yAlign="inline"/>
        <w:ind w:firstLine="560" w:firstLineChars="200"/>
        <w:rPr>
          <w:rFonts w:ascii="Times New Roman" w:hAnsi="Times New Roman" w:cs="Times New Roman" w:eastAsiaTheme="minorEastAsia"/>
          <w:sz w:val="28"/>
          <w:szCs w:val="28"/>
        </w:rPr>
      </w:pPr>
      <w:r>
        <w:rPr>
          <w:rFonts w:asciiTheme="minorEastAsia" w:hAnsiTheme="minorEastAsia" w:eastAsiaTheme="minorEastAsia" w:cstheme="minorEastAsia"/>
          <w:sz w:val="28"/>
          <w:szCs w:val="28"/>
        </w:rPr>
        <w:t>本标准与有关的现行法律法规及强制性国家标准保持高度衔接并形成有效互补。</w:t>
      </w:r>
      <w:r>
        <w:rPr>
          <w:rFonts w:ascii="宋体" w:hAnsi="宋体" w:eastAsia="宋体" w:cs="宋体"/>
          <w:sz w:val="28"/>
          <w:szCs w:val="28"/>
        </w:rPr>
        <w:t>在标准研制过程中，起草组系统研判了现有的法律法规及强制性的国家标准内容，确保技术内容严格遵循国家相关规定，同时针对产业链供应链合作特定领域细化操作准则，增强了合规性和规范性。</w:t>
      </w:r>
    </w:p>
    <w:p w14:paraId="731DCDB6">
      <w:pPr>
        <w:framePr w:wrap="auto" w:vAnchor="margin" w:hAnchor="text" w:yAlign="inline"/>
        <w:ind w:firstLine="560" w:firstLineChars="200"/>
        <w:rPr>
          <w:rFonts w:hint="default" w:ascii="宋体" w:hAnsi="宋体" w:eastAsia="宋体" w:cs="宋体"/>
          <w:sz w:val="28"/>
          <w:szCs w:val="28"/>
        </w:rPr>
      </w:pPr>
      <w:r>
        <w:rPr>
          <w:rFonts w:ascii="宋体" w:hAnsi="宋体" w:eastAsia="宋体" w:cs="宋体"/>
          <w:sz w:val="28"/>
          <w:szCs w:val="28"/>
        </w:rPr>
        <w:t>基于全球化产业协作特征，本文件构建了兼容多维度规则要求的实施框架，在考虑不同国家和地区法律法规的同时，兼顾了行业最佳实践和国际组织的指导原则。旨在创建一个既能促进合作、又能保障各参与方权益的框架，进而为全球产业链供应链的稳定和可持续发展提供支持。</w:t>
      </w:r>
    </w:p>
    <w:p w14:paraId="1E3C5D04">
      <w:pPr>
        <w:framePr w:wrap="auto" w:vAnchor="margin" w:hAnchor="text" w:yAlign="inline"/>
        <w:numPr>
          <w:ilvl w:val="0"/>
          <w:numId w:val="12"/>
        </w:numPr>
        <w:ind w:firstLine="560" w:firstLineChars="200"/>
        <w:rPr>
          <w:rFonts w:hint="default" w:ascii="黑体" w:hAnsi="黑体" w:eastAsia="黑体" w:cs="黑体"/>
          <w:sz w:val="28"/>
          <w:szCs w:val="28"/>
        </w:rPr>
      </w:pPr>
      <w:r>
        <w:rPr>
          <w:rFonts w:hint="cs" w:ascii="黑体" w:hAnsi="黑体" w:eastAsia="黑体" w:cs="黑体"/>
          <w:sz w:val="28"/>
          <w:szCs w:val="28"/>
        </w:rPr>
        <w:t>重大分歧意见的处理经过和依据</w:t>
      </w:r>
    </w:p>
    <w:p w14:paraId="0CC92E0F">
      <w:pPr>
        <w:framePr w:wrap="auto" w:vAnchor="margin" w:hAnchor="text" w:yAlign="inline"/>
        <w:ind w:firstLine="560" w:firstLineChars="200"/>
        <w:rPr>
          <w:rFonts w:hint="default" w:asciiTheme="minorEastAsia" w:hAnsiTheme="minorEastAsia" w:eastAsiaTheme="minorEastAsia" w:cstheme="minorEastAsia"/>
          <w:sz w:val="28"/>
          <w:szCs w:val="28"/>
        </w:rPr>
      </w:pPr>
      <w:r>
        <w:rPr>
          <w:rFonts w:hint="cs" w:asciiTheme="minorEastAsia" w:hAnsiTheme="minorEastAsia" w:eastAsiaTheme="minorEastAsia" w:cstheme="minorEastAsia"/>
          <w:sz w:val="28"/>
          <w:szCs w:val="28"/>
        </w:rPr>
        <w:t>本标准的制定过程中暂时未出现重大意见分歧。</w:t>
      </w:r>
    </w:p>
    <w:p w14:paraId="1CF8B37E">
      <w:pPr>
        <w:framePr w:wrap="auto" w:vAnchor="margin" w:hAnchor="text" w:yAlign="inline"/>
        <w:numPr>
          <w:ilvl w:val="0"/>
          <w:numId w:val="12"/>
        </w:numPr>
        <w:ind w:firstLine="560" w:firstLineChars="200"/>
        <w:rPr>
          <w:rFonts w:hint="default" w:ascii="黑体" w:hAnsi="黑体" w:eastAsia="黑体" w:cs="黑体"/>
          <w:sz w:val="28"/>
          <w:szCs w:val="28"/>
        </w:rPr>
      </w:pPr>
      <w:r>
        <w:rPr>
          <w:rFonts w:hint="cs" w:ascii="黑体" w:hAnsi="黑体" w:eastAsia="黑体" w:cs="黑体"/>
          <w:sz w:val="28"/>
          <w:szCs w:val="28"/>
        </w:rPr>
        <w:t>涉及专利的有关说明</w:t>
      </w:r>
    </w:p>
    <w:p w14:paraId="440185C6">
      <w:pPr>
        <w:framePr w:wrap="auto" w:vAnchor="margin" w:hAnchor="text" w:yAlign="inline"/>
        <w:ind w:firstLine="560" w:firstLineChars="200"/>
        <w:rPr>
          <w:rFonts w:asciiTheme="minorEastAsia" w:hAnsiTheme="minorEastAsia" w:eastAsiaTheme="minorEastAsia" w:cstheme="minorEastAsia"/>
          <w:sz w:val="28"/>
          <w:szCs w:val="28"/>
        </w:rPr>
      </w:pPr>
      <w:r>
        <w:rPr>
          <w:rFonts w:hint="cs" w:asciiTheme="minorEastAsia" w:hAnsiTheme="minorEastAsia" w:eastAsiaTheme="minorEastAsia" w:cstheme="minorEastAsia"/>
          <w:sz w:val="28"/>
          <w:szCs w:val="28"/>
        </w:rPr>
        <w:t>本标准不涉及专利。</w:t>
      </w:r>
    </w:p>
    <w:p w14:paraId="5969B2F5">
      <w:pPr>
        <w:framePr w:wrap="auto" w:vAnchor="margin" w:hAnchor="text" w:yAlign="inline"/>
        <w:numPr>
          <w:ilvl w:val="0"/>
          <w:numId w:val="12"/>
        </w:numPr>
        <w:ind w:firstLine="560" w:firstLineChars="200"/>
        <w:rPr>
          <w:rFonts w:ascii="黑体" w:hAnsi="黑体" w:eastAsia="黑体" w:cs="黑体"/>
          <w:sz w:val="28"/>
          <w:szCs w:val="28"/>
        </w:rPr>
      </w:pPr>
      <w:r>
        <w:rPr>
          <w:rFonts w:ascii="黑体" w:hAnsi="黑体" w:eastAsia="黑体" w:cs="黑体"/>
          <w:sz w:val="28"/>
          <w:szCs w:val="28"/>
        </w:rPr>
        <w:t>贯彻标准的要求和措施建议</w:t>
      </w:r>
    </w:p>
    <w:p w14:paraId="470333F3">
      <w:pPr>
        <w:framePr w:wrap="auto" w:vAnchor="margin" w:hAnchor="text" w:yAlign="inline"/>
        <w:ind w:firstLine="560" w:firstLineChars="200"/>
        <w:rPr>
          <w:rFonts w:ascii="宋体" w:hAnsi="宋体" w:eastAsia="宋体" w:cs="宋体"/>
          <w:sz w:val="28"/>
          <w:szCs w:val="28"/>
        </w:rPr>
      </w:pPr>
      <w:r>
        <w:rPr>
          <w:rFonts w:ascii="宋体" w:hAnsi="宋体" w:eastAsia="宋体" w:cs="宋体"/>
          <w:sz w:val="28"/>
          <w:szCs w:val="28"/>
        </w:rPr>
        <w:t>1.彻底了解规范内容。组织专门学习会议，掌握标准的目标、应用范围、主要技术内容以及相关标准和要求。对标准的重点条款、核心指标、操作流程等进行深入解读和案例分析，协助企业更好地理解和记忆。</w:t>
      </w:r>
    </w:p>
    <w:p w14:paraId="60ECCE09">
      <w:pPr>
        <w:framePr w:wrap="auto" w:vAnchor="margin" w:hAnchor="text" w:yAlign="inline"/>
        <w:ind w:firstLine="560" w:firstLineChars="200"/>
        <w:rPr>
          <w:rFonts w:ascii="宋体" w:hAnsi="宋体" w:eastAsia="宋体" w:cs="宋体"/>
          <w:sz w:val="28"/>
          <w:szCs w:val="28"/>
          <w:highlight w:val="yellow"/>
        </w:rPr>
      </w:pPr>
      <w:r>
        <w:rPr>
          <w:rFonts w:ascii="宋体" w:hAnsi="宋体" w:eastAsia="宋体" w:cs="宋体"/>
          <w:sz w:val="28"/>
          <w:szCs w:val="28"/>
        </w:rPr>
        <w:t>2.制定详细的推广计划。通过链博会等平台，进行标准的贯彻实施工作。</w:t>
      </w:r>
    </w:p>
    <w:p w14:paraId="77A92A86">
      <w:pPr>
        <w:framePr w:wrap="auto" w:vAnchor="margin" w:hAnchor="text" w:yAlign="inline"/>
        <w:ind w:firstLine="560" w:firstLineChars="200"/>
        <w:rPr>
          <w:rFonts w:ascii="宋体" w:hAnsi="宋体" w:eastAsia="宋体" w:cs="宋体"/>
          <w:sz w:val="28"/>
          <w:szCs w:val="28"/>
        </w:rPr>
      </w:pPr>
      <w:r>
        <w:rPr>
          <w:rFonts w:ascii="宋体" w:hAnsi="宋体" w:eastAsia="宋体" w:cs="宋体"/>
          <w:sz w:val="28"/>
          <w:szCs w:val="28"/>
        </w:rPr>
        <w:t>3.定期进行评估和更新。跟踪技术发展、行业标准的变化，定期评估基于产业链的供应链合作指南的执行情况，并对标准文本进行必要的更新和改进，确保其与最新技术和要求保持一致。</w:t>
      </w:r>
    </w:p>
    <w:p w14:paraId="2FD14F2A">
      <w:pPr>
        <w:framePr w:wrap="auto" w:vAnchor="margin" w:hAnchor="text" w:yAlign="inline"/>
        <w:ind w:firstLine="560" w:firstLineChars="200"/>
        <w:rPr>
          <w:rFonts w:ascii="黑体" w:hAnsi="黑体" w:eastAsia="黑体" w:cs="黑体"/>
          <w:sz w:val="28"/>
          <w:szCs w:val="28"/>
        </w:rPr>
      </w:pPr>
      <w:r>
        <w:rPr>
          <w:rFonts w:ascii="宋体" w:hAnsi="宋体" w:eastAsia="宋体" w:cs="宋体"/>
          <w:sz w:val="28"/>
          <w:szCs w:val="28"/>
        </w:rPr>
        <w:t>4.培训和沟通。制定详细的培训计划，针对不同岗位和层级的员工开展有针对性的培训活动。采用多种培训方式，包括内部培训课程、外部专家讲座、在线学习平台、实践操作培训等。同时，与团队成员和相关利益相关者保持沟通，解答问题、解决疑虑，共同推动标准的有效实施。</w:t>
      </w:r>
    </w:p>
    <w:p w14:paraId="0BD6DB19">
      <w:pPr>
        <w:framePr w:wrap="auto" w:vAnchor="margin" w:hAnchor="text" w:yAlign="inline"/>
        <w:numPr>
          <w:ilvl w:val="0"/>
          <w:numId w:val="12"/>
        </w:numPr>
        <w:ind w:firstLine="560" w:firstLineChars="200"/>
        <w:rPr>
          <w:rFonts w:ascii="黑体" w:hAnsi="黑体" w:eastAsia="黑体" w:cs="黑体"/>
          <w:sz w:val="28"/>
          <w:szCs w:val="28"/>
        </w:rPr>
      </w:pPr>
      <w:r>
        <w:rPr>
          <w:rFonts w:ascii="黑体" w:hAnsi="黑体" w:eastAsia="黑体" w:cs="黑体"/>
          <w:sz w:val="28"/>
          <w:szCs w:val="28"/>
        </w:rPr>
        <w:t>标准实施的预期效果</w:t>
      </w:r>
    </w:p>
    <w:p w14:paraId="4CA00395">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推动规范化与标准化进程。标准的实施为供应链合作提供了统一的准则和框架，有助于促进产业链各环节的规范化发展，减少因标准差异产生的协作壁垒，降低沟通成本，提升合作效率，为产业链协同发展奠定坚实基础。</w:t>
      </w:r>
    </w:p>
    <w:p w14:paraId="31B63921">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2.优化资源配置效率。标准实施后，企业能够依据相关要求优化供应链流程，减少非必要的重复工作和资源浪费，降低因技术不兼容或流程不清晰导致的额外投入，实现运营成本降低和开发效率提升的双重优化。</w:t>
      </w:r>
    </w:p>
    <w:p w14:paraId="36BA8433">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3.提升合作质量和稳定性。标准的实施能够帮助企业优化合作流程和绩效评估机制，有效减少合作中的摩擦和冲突、提升合作质量，进而建立更加稳定和可靠的合作关系，促进产业链和供应链的长期健康发展。</w:t>
      </w:r>
    </w:p>
    <w:p w14:paraId="2C6E70DF">
      <w:pPr>
        <w:framePr w:wrap="auto" w:vAnchor="margin" w:hAnchor="text" w:yAlign="inline"/>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4.增强企业竞争力与市场适应性。标准的实施助力企业在供应链合作中以规范化服务更好地满足客户需求，进一步提升企业的品牌形象和行业声誉，从而在激烈的市场竞争中占据优势地位。</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B6628"/>
    <w:multiLevelType w:val="multilevel"/>
    <w:tmpl w:val="843B6628"/>
    <w:lvl w:ilvl="0" w:tentative="0">
      <w:start w:val="1"/>
      <w:numFmt w:val="none"/>
      <w:pStyle w:val="24"/>
      <w:lvlText w:val="%1——"/>
      <w:lvlJc w:val="left"/>
      <w:pPr>
        <w:tabs>
          <w:tab w:val="left" w:pos="851"/>
        </w:tabs>
        <w:ind w:left="851" w:hanging="426"/>
      </w:pPr>
      <w:rPr>
        <w:rFonts w:hint="default" w:ascii="Times New Roman" w:hAnsi="Times New Roman" w:eastAsia="宋体" w:cs="Times New Roman"/>
        <w:sz w:val="20"/>
      </w:rPr>
    </w:lvl>
    <w:lvl w:ilvl="1" w:tentative="0">
      <w:start w:val="1"/>
      <w:numFmt w:val="bullet"/>
      <w:lvlText w:val=""/>
      <w:lvlJc w:val="left"/>
      <w:pPr>
        <w:tabs>
          <w:tab w:val="left" w:pos="851"/>
        </w:tabs>
        <w:ind w:left="1270" w:hanging="419"/>
      </w:pPr>
      <w:rPr>
        <w:rFonts w:hint="default" w:ascii="Symbol" w:hAnsi="Symbol" w:eastAsia="宋体" w:cs="Symbol"/>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A8909F1B"/>
    <w:multiLevelType w:val="multilevel"/>
    <w:tmpl w:val="A8909F1B"/>
    <w:lvl w:ilvl="0" w:tentative="0">
      <w:start w:val="1"/>
      <w:numFmt w:val="decimal"/>
      <w:pStyle w:val="17"/>
      <w:suff w:val="nothing"/>
      <w:lvlText w:val="%1　"/>
      <w:lvlJc w:val="left"/>
      <w:pPr>
        <w:ind w:left="0" w:firstLine="0"/>
      </w:pPr>
      <w:rPr>
        <w:rFonts w:hint="default" w:ascii="黑体" w:hAnsi="黑体" w:eastAsia="黑体" w:cs="黑体"/>
        <w:sz w:val="20"/>
      </w:rPr>
    </w:lvl>
    <w:lvl w:ilvl="1" w:tentative="0">
      <w:start w:val="1"/>
      <w:numFmt w:val="decimal"/>
      <w:pStyle w:val="16"/>
      <w:suff w:val="nothing"/>
      <w:lvlText w:val="%1.%2　"/>
      <w:lvlJc w:val="left"/>
      <w:pPr>
        <w:ind w:left="0" w:firstLine="0"/>
      </w:pPr>
      <w:rPr>
        <w:rFonts w:hint="default" w:ascii="黑体" w:hAnsi="黑体" w:eastAsia="黑体" w:cs="黑体"/>
        <w:sz w:val="20"/>
      </w:rPr>
    </w:lvl>
    <w:lvl w:ilvl="2" w:tentative="0">
      <w:start w:val="1"/>
      <w:numFmt w:val="decimal"/>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1FC91163"/>
    <w:multiLevelType w:val="multilevel"/>
    <w:tmpl w:val="1FC91163"/>
    <w:lvl w:ilvl="0" w:tentative="0">
      <w:start w:val="1"/>
      <w:numFmt w:val="decimal"/>
      <w:pStyle w:val="1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01753D7"/>
    <w:multiLevelType w:val="multilevel"/>
    <w:tmpl w:val="201753D7"/>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2A100541"/>
    <w:multiLevelType w:val="multilevel"/>
    <w:tmpl w:val="2A100541"/>
    <w:lvl w:ilvl="0" w:tentative="0">
      <w:start w:val="1"/>
      <w:numFmt w:val="decimal"/>
      <w:suff w:val="nothing"/>
      <w:lvlText w:val="%1　"/>
      <w:lvlJc w:val="left"/>
      <w:pPr>
        <w:ind w:left="0" w:firstLine="0"/>
      </w:pPr>
      <w:rPr>
        <w:rFonts w:hint="default" w:ascii="黑体" w:hAnsi="黑体" w:eastAsia="黑体" w:cs="黑体"/>
        <w:sz w:val="20"/>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pStyle w:val="20"/>
      <w:suff w:val="nothing"/>
      <w:lvlText w:val="%1.%2.%3　"/>
      <w:lvlJc w:val="left"/>
      <w:pPr>
        <w:ind w:left="0" w:firstLine="0"/>
      </w:pPr>
      <w:rPr>
        <w:rFonts w:hint="default" w:ascii="黑体" w:hAnsi="黑体" w:eastAsia="黑体" w:cs="黑体"/>
        <w:sz w:val="20"/>
      </w:rPr>
    </w:lvl>
    <w:lvl w:ilvl="3" w:tentative="0">
      <w:start w:val="1"/>
      <w:numFmt w:val="decimal"/>
      <w:pStyle w:val="22"/>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3E230BCE"/>
    <w:multiLevelType w:val="singleLevel"/>
    <w:tmpl w:val="3E230BCE"/>
    <w:lvl w:ilvl="0" w:tentative="0">
      <w:start w:val="2"/>
      <w:numFmt w:val="chineseCounting"/>
      <w:suff w:val="nothing"/>
      <w:lvlText w:val="（%1）"/>
      <w:lvlJc w:val="left"/>
      <w:rPr>
        <w:rFonts w:hint="eastAsia"/>
      </w:rPr>
    </w:lvl>
  </w:abstractNum>
  <w:abstractNum w:abstractNumId="6">
    <w:nsid w:val="48FF1048"/>
    <w:multiLevelType w:val="multilevel"/>
    <w:tmpl w:val="48FF1048"/>
    <w:lvl w:ilvl="0" w:tentative="0">
      <w:start w:val="1"/>
      <w:numFmt w:val="decimal"/>
      <w:lvlText w:val="%1."/>
      <w:lvlJc w:val="left"/>
      <w:pPr>
        <w:ind w:left="1000" w:hanging="44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7">
    <w:nsid w:val="52B050D2"/>
    <w:multiLevelType w:val="singleLevel"/>
    <w:tmpl w:val="52B050D2"/>
    <w:lvl w:ilvl="0" w:tentative="0">
      <w:start w:val="2"/>
      <w:numFmt w:val="chineseCounting"/>
      <w:suff w:val="space"/>
      <w:lvlText w:val="%1、"/>
      <w:lvlJc w:val="left"/>
      <w:rPr>
        <w:rFonts w:hint="eastAsia"/>
      </w:rPr>
    </w:lvl>
  </w:abstractNum>
  <w:abstractNum w:abstractNumId="8">
    <w:nsid w:val="57BD392B"/>
    <w:multiLevelType w:val="multilevel"/>
    <w:tmpl w:val="57BD392B"/>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9">
    <w:nsid w:val="6CDE5358"/>
    <w:multiLevelType w:val="multilevel"/>
    <w:tmpl w:val="6CDE5358"/>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0">
    <w:nsid w:val="7179A81A"/>
    <w:multiLevelType w:val="singleLevel"/>
    <w:tmpl w:val="7179A81A"/>
    <w:lvl w:ilvl="0" w:tentative="0">
      <w:start w:val="6"/>
      <w:numFmt w:val="chineseCounting"/>
      <w:suff w:val="nothing"/>
      <w:lvlText w:val="%1、"/>
      <w:lvlJc w:val="left"/>
      <w:rPr>
        <w:rFonts w:hint="eastAsia"/>
      </w:rPr>
    </w:lvl>
  </w:abstractNum>
  <w:abstractNum w:abstractNumId="11">
    <w:nsid w:val="7D3B7EC1"/>
    <w:multiLevelType w:val="multilevel"/>
    <w:tmpl w:val="7D3B7EC1"/>
    <w:lvl w:ilvl="0" w:tentative="0">
      <w:start w:val="1"/>
      <w:numFmt w:val="decimal"/>
      <w:pStyle w:val="19"/>
      <w:suff w:val="nothing"/>
      <w:lvlText w:val="[%1]  "/>
      <w:lvlJc w:val="left"/>
      <w:pPr>
        <w:ind w:left="0" w:firstLine="363"/>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2"/>
  </w:num>
  <w:num w:numId="2">
    <w:abstractNumId w:val="1"/>
  </w:num>
  <w:num w:numId="3">
    <w:abstractNumId w:val="11"/>
  </w:num>
  <w:num w:numId="4">
    <w:abstractNumId w:val="4"/>
  </w:num>
  <w:num w:numId="5">
    <w:abstractNumId w:val="0"/>
  </w:num>
  <w:num w:numId="6">
    <w:abstractNumId w:val="3"/>
  </w:num>
  <w:num w:numId="7">
    <w:abstractNumId w:val="7"/>
  </w:num>
  <w:num w:numId="8">
    <w:abstractNumId w:val="6"/>
  </w:num>
  <w:num w:numId="9">
    <w:abstractNumId w:val="8"/>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B0397"/>
    <w:rsid w:val="000212BD"/>
    <w:rsid w:val="00081FD8"/>
    <w:rsid w:val="00090108"/>
    <w:rsid w:val="00093722"/>
    <w:rsid w:val="00187B53"/>
    <w:rsid w:val="002215F4"/>
    <w:rsid w:val="00230D15"/>
    <w:rsid w:val="00251E0F"/>
    <w:rsid w:val="002646DA"/>
    <w:rsid w:val="00271030"/>
    <w:rsid w:val="002C43BB"/>
    <w:rsid w:val="002E7FA6"/>
    <w:rsid w:val="00325FDE"/>
    <w:rsid w:val="003B6294"/>
    <w:rsid w:val="004005C8"/>
    <w:rsid w:val="00441DBB"/>
    <w:rsid w:val="00491DC0"/>
    <w:rsid w:val="004D7C52"/>
    <w:rsid w:val="004E464B"/>
    <w:rsid w:val="00516516"/>
    <w:rsid w:val="00563232"/>
    <w:rsid w:val="0058427A"/>
    <w:rsid w:val="00585068"/>
    <w:rsid w:val="006948B2"/>
    <w:rsid w:val="006C562F"/>
    <w:rsid w:val="007270EA"/>
    <w:rsid w:val="007A32C8"/>
    <w:rsid w:val="007A36ED"/>
    <w:rsid w:val="00804BEE"/>
    <w:rsid w:val="00860F34"/>
    <w:rsid w:val="008A3862"/>
    <w:rsid w:val="008E7E55"/>
    <w:rsid w:val="009150DD"/>
    <w:rsid w:val="009275C5"/>
    <w:rsid w:val="00985990"/>
    <w:rsid w:val="009D4B22"/>
    <w:rsid w:val="00A95665"/>
    <w:rsid w:val="00AB1879"/>
    <w:rsid w:val="00AB64EF"/>
    <w:rsid w:val="00AE3288"/>
    <w:rsid w:val="00B524DF"/>
    <w:rsid w:val="00BC0133"/>
    <w:rsid w:val="00C50771"/>
    <w:rsid w:val="00CE4E03"/>
    <w:rsid w:val="00D2458B"/>
    <w:rsid w:val="00E03CF4"/>
    <w:rsid w:val="00E26A53"/>
    <w:rsid w:val="00E35D4F"/>
    <w:rsid w:val="00E7473E"/>
    <w:rsid w:val="00EE1AA1"/>
    <w:rsid w:val="00F217B6"/>
    <w:rsid w:val="00F44F1D"/>
    <w:rsid w:val="00F65476"/>
    <w:rsid w:val="00FB7941"/>
    <w:rsid w:val="00FC2839"/>
    <w:rsid w:val="00FE74DB"/>
    <w:rsid w:val="06152DE0"/>
    <w:rsid w:val="079C1028"/>
    <w:rsid w:val="0D334FA3"/>
    <w:rsid w:val="0D9131B4"/>
    <w:rsid w:val="0FD8798C"/>
    <w:rsid w:val="127A5E73"/>
    <w:rsid w:val="13E0137B"/>
    <w:rsid w:val="148E7D5F"/>
    <w:rsid w:val="1BCB46BE"/>
    <w:rsid w:val="1CEF7F37"/>
    <w:rsid w:val="20BC7B42"/>
    <w:rsid w:val="214967B1"/>
    <w:rsid w:val="23902378"/>
    <w:rsid w:val="256529BE"/>
    <w:rsid w:val="27415F34"/>
    <w:rsid w:val="27743E5C"/>
    <w:rsid w:val="295D104C"/>
    <w:rsid w:val="2B852ADC"/>
    <w:rsid w:val="2BAB6FEF"/>
    <w:rsid w:val="2D74105A"/>
    <w:rsid w:val="2E7A444E"/>
    <w:rsid w:val="324B0397"/>
    <w:rsid w:val="36617CA1"/>
    <w:rsid w:val="3BB75E87"/>
    <w:rsid w:val="3D35131C"/>
    <w:rsid w:val="42CE12B2"/>
    <w:rsid w:val="4E2E44B5"/>
    <w:rsid w:val="50E61A9E"/>
    <w:rsid w:val="531719BC"/>
    <w:rsid w:val="54C213C1"/>
    <w:rsid w:val="59C56616"/>
    <w:rsid w:val="5B4568B3"/>
    <w:rsid w:val="5D4B3976"/>
    <w:rsid w:val="631572D6"/>
    <w:rsid w:val="64FC27F0"/>
    <w:rsid w:val="6D2D0C5E"/>
    <w:rsid w:val="6E6D5724"/>
    <w:rsid w:val="71E338E5"/>
    <w:rsid w:val="7E413C0D"/>
    <w:rsid w:val="7E5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2">
    <w:name w:val="heading 2"/>
    <w:basedOn w:val="1"/>
    <w:next w:val="1"/>
    <w:link w:val="32"/>
    <w:semiHidden/>
    <w:unhideWhenUsed/>
    <w:qFormat/>
    <w:uiPriority w:val="0"/>
    <w:pPr>
      <w:keepNext/>
      <w:keepLines/>
      <w:framePr w:wrap="around"/>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semiHidden/>
    <w:unhideWhenUsed/>
    <w:qFormat/>
    <w:uiPriority w:val="0"/>
    <w:pPr>
      <w:framePr w:wrap="around"/>
      <w:spacing w:beforeAutospacing="1" w:afterAutospacing="1"/>
      <w:jc w:val="left"/>
      <w:outlineLvl w:val="2"/>
    </w:pPr>
    <w:rPr>
      <w:rFonts w:ascii="宋体" w:hAnsi="宋体" w:eastAsia="宋体" w:cs="Times New Roman"/>
      <w:b/>
      <w:bCs/>
      <w:kern w:val="0"/>
      <w:sz w:val="27"/>
      <w:szCs w:val="27"/>
    </w:rPr>
  </w:style>
  <w:style w:type="character" w:default="1" w:styleId="11">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toc 3"/>
    <w:basedOn w:val="1"/>
    <w:next w:val="1"/>
    <w:qFormat/>
    <w:uiPriority w:val="0"/>
    <w:pPr>
      <w:framePr w:wrap="around"/>
      <w:spacing w:line="300" w:lineRule="exact"/>
      <w:ind w:left="840" w:leftChars="400"/>
    </w:pPr>
    <w:rPr>
      <w:rFonts w:hAnsi="宋体"/>
    </w:rPr>
  </w:style>
  <w:style w:type="paragraph" w:styleId="5">
    <w:name w:val="Balloon Text"/>
    <w:basedOn w:val="1"/>
    <w:link w:val="27"/>
    <w:qFormat/>
    <w:uiPriority w:val="0"/>
    <w:pPr>
      <w:framePr w:wrap="around"/>
    </w:pPr>
    <w:rPr>
      <w:sz w:val="18"/>
      <w:szCs w:val="18"/>
    </w:rPr>
  </w:style>
  <w:style w:type="paragraph" w:styleId="6">
    <w:name w:val="footer"/>
    <w:basedOn w:val="1"/>
    <w:link w:val="26"/>
    <w:qFormat/>
    <w:uiPriority w:val="0"/>
    <w:pPr>
      <w:framePr w:wrap="around"/>
      <w:tabs>
        <w:tab w:val="center" w:pos="4153"/>
        <w:tab w:val="right" w:pos="8306"/>
      </w:tabs>
      <w:snapToGrid w:val="0"/>
      <w:jc w:val="left"/>
    </w:pPr>
    <w:rPr>
      <w:sz w:val="18"/>
      <w:szCs w:val="18"/>
    </w:rPr>
  </w:style>
  <w:style w:type="paragraph" w:styleId="7">
    <w:name w:val="header"/>
    <w:basedOn w:val="1"/>
    <w:link w:val="25"/>
    <w:qFormat/>
    <w:uiPriority w:val="0"/>
    <w:pPr>
      <w:framePr w:wrap="around"/>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framePr w:wrap="around"/>
      <w:spacing w:line="300" w:lineRule="exact"/>
      <w:ind w:left="420" w:leftChars="200"/>
    </w:pPr>
    <w:rPr>
      <w:rFonts w:hAnsi="宋体"/>
    </w:rPr>
  </w:style>
  <w:style w:type="paragraph" w:styleId="9">
    <w:name w:val="Normal (Web)"/>
    <w:basedOn w:val="1"/>
    <w:qFormat/>
    <w:uiPriority w:val="0"/>
    <w:pPr>
      <w:framePr w:wrap="around"/>
      <w:spacing w:beforeAutospacing="1" w:afterAutospacing="1"/>
      <w:jc w:val="left"/>
    </w:pPr>
    <w:rPr>
      <w:rFonts w:cs="Times New Roman"/>
      <w:kern w:val="0"/>
      <w:sz w:val="24"/>
    </w:rPr>
  </w:style>
  <w:style w:type="character" w:styleId="12">
    <w:name w:val="Strong"/>
    <w:basedOn w:val="11"/>
    <w:qFormat/>
    <w:uiPriority w:val="0"/>
    <w:rPr>
      <w:b/>
    </w:rPr>
  </w:style>
  <w:style w:type="paragraph" w:customStyle="1" w:styleId="13">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4">
    <w:name w:val="章标题"/>
    <w:next w:val="15"/>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标准文件_一级条标题"/>
    <w:basedOn w:val="17"/>
    <w:next w:val="18"/>
    <w:qFormat/>
    <w:uiPriority w:val="0"/>
    <w:pPr>
      <w:numPr>
        <w:ilvl w:val="1"/>
      </w:numPr>
      <w:spacing w:before="157" w:beforeLines="50" w:after="157" w:afterLines="50"/>
      <w:outlineLvl w:val="1"/>
    </w:pPr>
  </w:style>
  <w:style w:type="paragraph" w:customStyle="1" w:styleId="17">
    <w:name w:val="标准文件_章标题"/>
    <w:next w:val="18"/>
    <w:qFormat/>
    <w:uiPriority w:val="0"/>
    <w:pPr>
      <w:numPr>
        <w:ilvl w:val="0"/>
        <w:numId w:val="2"/>
      </w:numPr>
      <w:spacing w:before="313" w:beforeLines="100" w:after="313" w:afterLines="100"/>
      <w:jc w:val="both"/>
      <w:outlineLvl w:val="0"/>
    </w:pPr>
    <w:rPr>
      <w:rFonts w:hint="eastAsia" w:ascii="黑体" w:hAnsi="Times New Roman" w:eastAsia="黑体" w:cs="黑体"/>
      <w:sz w:val="21"/>
      <w:lang w:val="en-US" w:eastAsia="zh-CN" w:bidi="ar-SA"/>
    </w:rPr>
  </w:style>
  <w:style w:type="paragraph" w:customStyle="1" w:styleId="18">
    <w:name w:val="标准文件_段"/>
    <w:link w:val="28"/>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19">
    <w:name w:val="标准文件_参考文献编号"/>
    <w:basedOn w:val="18"/>
    <w:qFormat/>
    <w:uiPriority w:val="0"/>
    <w:pPr>
      <w:numPr>
        <w:ilvl w:val="0"/>
        <w:numId w:val="3"/>
      </w:numPr>
    </w:pPr>
  </w:style>
  <w:style w:type="paragraph" w:customStyle="1" w:styleId="20">
    <w:name w:val="标准文件_二级条标题"/>
    <w:next w:val="18"/>
    <w:qFormat/>
    <w:uiPriority w:val="0"/>
    <w:pPr>
      <w:numPr>
        <w:ilvl w:val="2"/>
        <w:numId w:val="4"/>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21">
    <w:name w:val="标准文件_三级无标题"/>
    <w:basedOn w:val="22"/>
    <w:qFormat/>
    <w:uiPriority w:val="0"/>
    <w:pPr>
      <w:spacing w:before="4" w:beforeLines="1" w:after="4" w:afterLines="1"/>
      <w:outlineLvl w:val="9"/>
    </w:pPr>
    <w:rPr>
      <w:rFonts w:ascii="宋体" w:hAnsi="宋体" w:eastAsia="宋体" w:cs="宋体"/>
    </w:rPr>
  </w:style>
  <w:style w:type="paragraph" w:customStyle="1" w:styleId="22">
    <w:name w:val="标准文件_三级条标题"/>
    <w:basedOn w:val="20"/>
    <w:next w:val="18"/>
    <w:qFormat/>
    <w:uiPriority w:val="0"/>
    <w:pPr>
      <w:numPr>
        <w:ilvl w:val="3"/>
      </w:numPr>
      <w:outlineLvl w:val="3"/>
    </w:pPr>
  </w:style>
  <w:style w:type="paragraph" w:customStyle="1" w:styleId="23">
    <w:name w:val="标准文件_二级无标题"/>
    <w:basedOn w:val="20"/>
    <w:qFormat/>
    <w:uiPriority w:val="0"/>
    <w:pPr>
      <w:spacing w:before="4" w:beforeLines="1" w:after="4" w:afterLines="1"/>
      <w:outlineLvl w:val="9"/>
    </w:pPr>
    <w:rPr>
      <w:rFonts w:ascii="宋体" w:hAnsi="宋体" w:eastAsia="宋体" w:cs="宋体"/>
    </w:rPr>
  </w:style>
  <w:style w:type="paragraph" w:customStyle="1" w:styleId="24">
    <w:name w:val="标准文件_一级项"/>
    <w:next w:val="18"/>
    <w:qFormat/>
    <w:uiPriority w:val="0"/>
    <w:pPr>
      <w:numPr>
        <w:ilvl w:val="0"/>
        <w:numId w:val="5"/>
      </w:numPr>
    </w:pPr>
    <w:rPr>
      <w:rFonts w:hint="eastAsia" w:ascii="宋体" w:hAnsi="Times New Roman" w:eastAsia="宋体" w:cs="宋体"/>
      <w:sz w:val="21"/>
      <w:lang w:val="en-US" w:eastAsia="zh-CN" w:bidi="ar-SA"/>
    </w:rPr>
  </w:style>
  <w:style w:type="character" w:customStyle="1" w:styleId="25">
    <w:name w:val="页眉 字符"/>
    <w:basedOn w:val="11"/>
    <w:link w:val="7"/>
    <w:qFormat/>
    <w:uiPriority w:val="0"/>
    <w:rPr>
      <w:rFonts w:ascii="Arial Unicode MS" w:hAnsi="Arial Unicode MS" w:eastAsia="Times New Roman" w:cs="Arial Unicode MS"/>
      <w:color w:val="000000"/>
      <w:kern w:val="2"/>
      <w:sz w:val="18"/>
      <w:szCs w:val="18"/>
      <w:u w:color="000000"/>
    </w:rPr>
  </w:style>
  <w:style w:type="character" w:customStyle="1" w:styleId="26">
    <w:name w:val="页脚 字符"/>
    <w:basedOn w:val="11"/>
    <w:link w:val="6"/>
    <w:qFormat/>
    <w:uiPriority w:val="0"/>
    <w:rPr>
      <w:rFonts w:ascii="Arial Unicode MS" w:hAnsi="Arial Unicode MS" w:eastAsia="Times New Roman" w:cs="Arial Unicode MS"/>
      <w:color w:val="000000"/>
      <w:kern w:val="2"/>
      <w:sz w:val="18"/>
      <w:szCs w:val="18"/>
      <w:u w:color="000000"/>
    </w:rPr>
  </w:style>
  <w:style w:type="character" w:customStyle="1" w:styleId="27">
    <w:name w:val="批注框文本 字符"/>
    <w:basedOn w:val="11"/>
    <w:link w:val="5"/>
    <w:qFormat/>
    <w:uiPriority w:val="0"/>
    <w:rPr>
      <w:rFonts w:ascii="Arial Unicode MS" w:hAnsi="Arial Unicode MS" w:eastAsia="Times New Roman" w:cs="Arial Unicode MS"/>
      <w:color w:val="000000"/>
      <w:kern w:val="2"/>
      <w:sz w:val="18"/>
      <w:szCs w:val="18"/>
      <w:u w:color="000000"/>
    </w:rPr>
  </w:style>
  <w:style w:type="character" w:customStyle="1" w:styleId="28">
    <w:name w:val="标准文件_段 Char"/>
    <w:link w:val="18"/>
    <w:qFormat/>
    <w:uiPriority w:val="0"/>
    <w:rPr>
      <w:rFonts w:ascii="宋体" w:cs="宋体"/>
      <w:sz w:val="21"/>
    </w:rPr>
  </w:style>
  <w:style w:type="paragraph" w:customStyle="1" w:styleId="29">
    <w:name w:val="标准文件_三级项"/>
    <w:basedOn w:val="1"/>
    <w:qFormat/>
    <w:uiPriority w:val="0"/>
    <w:pPr>
      <w:framePr w:wrap="auto" w:yAlign="inline"/>
      <w:adjustRightInd w:val="0"/>
      <w:spacing w:line="536870612" w:lineRule="auto"/>
      <w:ind w:left="851" w:hanging="426"/>
    </w:pPr>
    <w:rPr>
      <w:rFonts w:hint="default" w:ascii="Times New Roman" w:hAnsi="Times New Roman" w:eastAsia="宋体" w:cs="Times New Roman"/>
      <w:color w:val="auto"/>
    </w:rPr>
  </w:style>
  <w:style w:type="paragraph" w:customStyle="1" w:styleId="30">
    <w:name w:val="标准文件_二级项2"/>
    <w:basedOn w:val="18"/>
    <w:qFormat/>
    <w:uiPriority w:val="0"/>
    <w:pPr>
      <w:autoSpaceDE w:val="0"/>
      <w:autoSpaceDN w:val="0"/>
      <w:ind w:left="851" w:firstLine="0" w:firstLineChars="0"/>
    </w:pPr>
    <w:rPr>
      <w:rFonts w:hint="default" w:cs="Times New Roman"/>
    </w:rPr>
  </w:style>
  <w:style w:type="paragraph" w:styleId="31">
    <w:name w:val="List Paragraph"/>
    <w:basedOn w:val="1"/>
    <w:unhideWhenUsed/>
    <w:qFormat/>
    <w:uiPriority w:val="99"/>
    <w:pPr>
      <w:framePr w:wrap="around"/>
      <w:ind w:firstLine="420" w:firstLineChars="200"/>
    </w:pPr>
  </w:style>
  <w:style w:type="character" w:customStyle="1" w:styleId="32">
    <w:name w:val="标题 2 字符"/>
    <w:basedOn w:val="11"/>
    <w:link w:val="2"/>
    <w:semiHidden/>
    <w:qFormat/>
    <w:uiPriority w:val="0"/>
    <w:rPr>
      <w:rFonts w:asciiTheme="majorHAnsi" w:hAnsiTheme="majorHAnsi" w:eastAsiaTheme="majorEastAsia" w:cstheme="majorBidi"/>
      <w:b/>
      <w:bCs/>
      <w:color w:val="000000"/>
      <w:kern w:val="2"/>
      <w:sz w:val="32"/>
      <w:szCs w:val="32"/>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6521</Words>
  <Characters>6761</Characters>
  <Lines>177</Lines>
  <Paragraphs>106</Paragraphs>
  <TotalTime>3</TotalTime>
  <ScaleCrop>false</ScaleCrop>
  <LinksUpToDate>false</LinksUpToDate>
  <CharactersWithSpaces>6783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2025-03-06T09:11:00Z</dcterms:created>
  <dc:creator>佳莹</dc:creator>
  <cp:lastModifiedBy>特浓盐牛奶糖</cp:lastModifiedBy>
  <dcterms:modified xsi:type="dcterms:W3CDTF">2026-03-09T09:19:54Z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D6ED90B584CE416B8580EC1A1B792627_13</vt:lpwstr>
  </property>
  <property fmtid="{D5CDD505-2E9C-101B-9397-08002B2CF9AE}" pid="4" name="KSOTemplateDocerSaveRecord">
    <vt:lpwstr>eyJoZGlkIjoiYjRjZDgxZmM2NTBmY2I2MjMyOTEyMmI3NDRhNjM5Y2QiLCJ1c2VySWQiOiIxMTQ4NjA0ODU1In0=</vt:lpwstr>
  </property>
</Properties>
</file>