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FB1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C9A1B0">
            <w:pPr>
              <w:pStyle w:val="22"/>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0" w:name="OLE_LINK5"/>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4CA05F">
            <w:pPr>
              <w:pStyle w:val="22"/>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03.080.01"/>
                  </w:textInput>
                </w:ffData>
              </w:fldChar>
            </w:r>
            <w:bookmarkStart w:id="1"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03.080.01</w:t>
            </w:r>
            <w:r>
              <w:rPr>
                <w:rFonts w:hint="eastAsia" w:ascii="黑体" w:hAnsi="黑体" w:eastAsia="黑体"/>
                <w:sz w:val="21"/>
                <w:szCs w:val="21"/>
              </w:rPr>
              <w:fldChar w:fldCharType="end"/>
            </w:r>
            <w:bookmarkEnd w:id="1"/>
          </w:p>
        </w:tc>
      </w:tr>
      <w:tr w14:paraId="0EE6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3C4CE3">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3"/>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E4D56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75E78CE">
                  <w:pPr>
                    <w:pStyle w:val="56"/>
                    <w:framePr w:wrap="notBeside" w:vAnchor="page" w:hAnchor="page" w:x="1372" w:y="568"/>
                    <w:ind w:left="420" w:right="624"/>
                    <w:rPr>
                      <w:rFonts w:hint="eastAsia" w:ascii="宋体" w:hAnsi="宋体"/>
                      <w:sz w:val="28"/>
                      <w:szCs w:val="28"/>
                    </w:rPr>
                  </w:pPr>
                  <w:r>
                    <w:rPr>
                      <w:sz w:val="21"/>
                      <w:szCs w:val="21"/>
                    </w:rPr>
                    <w:t xml:space="preserve"> </w:t>
                  </w:r>
                </w:p>
              </w:tc>
            </w:tr>
          </w:tbl>
          <w:p w14:paraId="57FFE44D">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A16"/>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A16</w:t>
            </w:r>
            <w:r>
              <w:rPr>
                <w:rFonts w:hint="eastAsia" w:ascii="黑体" w:hAnsi="黑体" w:eastAsia="黑体"/>
                <w:sz w:val="21"/>
                <w:szCs w:val="21"/>
              </w:rPr>
              <w:fldChar w:fldCharType="end"/>
            </w:r>
            <w:bookmarkEnd w:id="2"/>
          </w:p>
        </w:tc>
      </w:tr>
    </w:tbl>
    <w:p w14:paraId="33DAB700">
      <w:pPr>
        <w:pStyle w:val="57"/>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8AB3D16">
      <w:pPr>
        <w:pStyle w:val="199"/>
        <w:framePr/>
        <w:rPr>
          <w:lang w:val="fr-CH"/>
        </w:rPr>
      </w:pPr>
      <w:r>
        <w:rPr>
          <w:lang w:val="fr-CH"/>
        </w:rPr>
        <w:t>T/</w:t>
      </w:r>
      <w:r>
        <w:fldChar w:fldCharType="begin">
          <w:ffData>
            <w:name w:val="文字1"/>
            <w:enabled/>
            <w:calcOnExit w:val="0"/>
            <w:textInput>
              <w:default w:val="CCPITCSC"/>
            </w:textInput>
          </w:ffData>
        </w:fldChar>
      </w:r>
      <w:bookmarkStart w:id="4" w:name="文字1"/>
      <w:r>
        <w:rPr>
          <w:lang w:val="fr-CH"/>
        </w:rPr>
        <w:instrText xml:space="preserve"> FORMTEXT </w:instrText>
      </w:r>
      <w:r>
        <w:fldChar w:fldCharType="separate"/>
      </w:r>
      <w:r>
        <w:rPr>
          <w:lang w:val="fr-CH"/>
        </w:rPr>
        <w:t>CCPITCSC</w:t>
      </w:r>
      <w:r>
        <w:fldChar w:fldCharType="end"/>
      </w:r>
      <w:bookmarkEnd w:id="4"/>
      <w:r>
        <w:rPr>
          <w:lang w:val="fr-CH"/>
        </w:rPr>
        <w:t xml:space="preserve"> </w:t>
      </w:r>
      <w:r>
        <w:fldChar w:fldCharType="begin">
          <w:ffData>
            <w:name w:val="NSTD_CODE_F"/>
            <w:enabled/>
            <w:calcOnExit w:val="0"/>
            <w:textInput>
              <w:default w:val="XXXX"/>
            </w:textInput>
          </w:ffData>
        </w:fldChar>
      </w:r>
      <w:bookmarkStart w:id="5" w:name="NSTD_CODE_F"/>
      <w:r>
        <w:rPr>
          <w:lang w:val="fr-CH"/>
        </w:rPr>
        <w:instrText xml:space="preserve"> FORMTEXT </w:instrText>
      </w:r>
      <w:r>
        <w:fldChar w:fldCharType="separate"/>
      </w:r>
      <w:r>
        <w:rPr>
          <w:lang w:val="fr-CH"/>
        </w:rPr>
        <w:t>XXXX</w:t>
      </w:r>
      <w:r>
        <w:fldChar w:fldCharType="end"/>
      </w:r>
      <w:bookmarkEnd w:id="5"/>
      <w:r>
        <w:rPr>
          <w:rFonts w:hAnsi="黑体"/>
          <w:lang w:val="fr-CH"/>
        </w:rPr>
        <w:t>—</w:t>
      </w:r>
      <w:r>
        <w:fldChar w:fldCharType="begin">
          <w:ffData>
            <w:name w:val="NSTD_CODE_B"/>
            <w:enabled/>
            <w:calcOnExit w:val="0"/>
            <w:textInput>
              <w:default w:val="XXXX"/>
            </w:textInput>
          </w:ffData>
        </w:fldChar>
      </w:r>
      <w:bookmarkStart w:id="6" w:name="NSTD_CODE_B"/>
      <w:r>
        <w:rPr>
          <w:lang w:val="fr-CH"/>
        </w:rPr>
        <w:instrText xml:space="preserve"> FORMTEXT </w:instrText>
      </w:r>
      <w:r>
        <w:fldChar w:fldCharType="separate"/>
      </w:r>
      <w:r>
        <w:rPr>
          <w:lang w:val="fr-CH"/>
        </w:rPr>
        <w:t>XXXX</w:t>
      </w:r>
      <w:r>
        <w:fldChar w:fldCharType="end"/>
      </w:r>
      <w:bookmarkEnd w:id="6"/>
    </w:p>
    <w:p w14:paraId="0C5356C7">
      <w:pPr>
        <w:pStyle w:val="200"/>
        <w:framePr/>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7434C557">
      <w:pPr>
        <w:spacing w:line="240" w:lineRule="auto"/>
        <w:rPr>
          <w:rFonts w:hint="eastAsia" w:ascii="黑体" w:hAnsi="黑体" w:eastAsia="黑体"/>
          <w:kern w:val="0"/>
          <w:sz w:val="10"/>
          <w:szCs w:val="10"/>
        </w:rPr>
      </w:pPr>
      <w:r>
        <w:rPr>
          <w:rFonts w:ascii="黑体" w:hAnsi="黑体" w:eastAsia="黑体"/>
          <w:kern w:val="0"/>
          <w:sz w:val="10"/>
          <w:szCs w:val="10"/>
        </w:rPr>
        <w:drawing>
          <wp:anchor distT="0" distB="0" distL="114300" distR="114300" simplePos="0" relativeHeight="251661312" behindDoc="0" locked="0" layoutInCell="1" allowOverlap="1">
            <wp:simplePos x="0" y="0"/>
            <wp:positionH relativeFrom="column">
              <wp:posOffset>4103370</wp:posOffset>
            </wp:positionH>
            <wp:positionV relativeFrom="paragraph">
              <wp:posOffset>-1237615</wp:posOffset>
            </wp:positionV>
            <wp:extent cx="1722755" cy="1542415"/>
            <wp:effectExtent l="0" t="0" r="0" b="0"/>
            <wp:wrapNone/>
            <wp:docPr id="4356797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79719"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22755" cy="1542415"/>
                    </a:xfrm>
                    <a:prstGeom prst="rect">
                      <a:avLst/>
                    </a:prstGeom>
                  </pic:spPr>
                </pic:pic>
              </a:graphicData>
            </a:graphic>
          </wp:anchor>
        </w:drawing>
      </w: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838B86">
      <w:pPr>
        <w:pStyle w:val="57"/>
        <w:framePr w:w="9639" w:h="6976" w:hRule="exact" w:hSpace="0" w:vSpace="0" w:wrap="around" w:hAnchor="page" w:y="6408"/>
        <w:jc w:val="center"/>
        <w:rPr>
          <w:rFonts w:hint="eastAsia" w:ascii="黑体" w:hAnsi="黑体" w:eastAsia="黑体"/>
          <w:b w:val="0"/>
          <w:bCs w:val="0"/>
          <w:w w:val="100"/>
        </w:rPr>
      </w:pPr>
    </w:p>
    <w:p w14:paraId="7C8C6353">
      <w:pPr>
        <w:pStyle w:val="201"/>
        <w:framePr w:h="6974" w:hRule="exact" w:wrap="around" w:x="1419" w:anchorLock="1"/>
        <w:rPr>
          <w:rFonts w:hint="eastAsia"/>
        </w:rPr>
      </w:pPr>
      <w:bookmarkStart w:id="8" w:name="_Hlk180414462"/>
      <w:r>
        <w:rPr>
          <w:rFonts w:hint="eastAsia"/>
        </w:rPr>
        <w:fldChar w:fldCharType="begin">
          <w:ffData>
            <w:name w:val="CSTD_NAME"/>
            <w:enabled/>
            <w:calcOnExit w:val="0"/>
            <w:textInput>
              <w:default w:val="基于产业链的供应链合作指南"/>
            </w:textInput>
          </w:ffData>
        </w:fldChar>
      </w:r>
      <w:bookmarkStart w:id="9" w:name="CSTD_NAME"/>
      <w:r>
        <w:rPr>
          <w:rFonts w:hint="eastAsia"/>
        </w:rPr>
        <w:instrText xml:space="preserve"> FORMTEXT </w:instrText>
      </w:r>
      <w:r>
        <w:rPr>
          <w:rFonts w:hint="eastAsia"/>
        </w:rPr>
        <w:fldChar w:fldCharType="separate"/>
      </w:r>
      <w:r>
        <w:rPr>
          <w:rFonts w:hint="eastAsia"/>
        </w:rPr>
        <w:t>基于产业链的供应链合作指南</w:t>
      </w:r>
      <w:r>
        <w:rPr>
          <w:rFonts w:hint="eastAsia"/>
        </w:rPr>
        <w:fldChar w:fldCharType="end"/>
      </w:r>
      <w:bookmarkEnd w:id="9"/>
    </w:p>
    <w:bookmarkEnd w:id="8"/>
    <w:p w14:paraId="30CB6A94">
      <w:pPr>
        <w:framePr w:w="9639" w:h="6974" w:hRule="exact" w:wrap="around" w:vAnchor="page" w:hAnchor="page" w:x="1419" w:y="6408" w:anchorLock="1"/>
        <w:ind w:left="-1418"/>
      </w:pPr>
    </w:p>
    <w:p w14:paraId="06C47A53">
      <w:pPr>
        <w:pStyle w:val="129"/>
        <w:framePr w:w="9639" w:h="6974" w:hRule="exact" w:wrap="around" w:vAnchor="page" w:hAnchor="page" w:x="1419" w:y="6408" w:anchorLock="1"/>
        <w:textAlignment w:val="bottom"/>
        <w:rPr>
          <w:rFonts w:eastAsia="黑体"/>
          <w:szCs w:val="28"/>
        </w:rPr>
      </w:pPr>
      <w:r>
        <w:rPr>
          <w:rFonts w:eastAsia="黑体"/>
          <w:szCs w:val="28"/>
        </w:rPr>
        <w:t xml:space="preserve">Guidelines for </w:t>
      </w:r>
      <w:bookmarkStart w:id="10" w:name="_Hlk202860246"/>
      <w:bookmarkStart w:id="11" w:name="_Hlk202261889"/>
      <w:r>
        <w:rPr>
          <w:rFonts w:eastAsia="黑体"/>
          <w:szCs w:val="28"/>
        </w:rPr>
        <w:t>supply chain collaborat</w:t>
      </w:r>
      <w:r>
        <w:rPr>
          <w:rFonts w:hint="eastAsia" w:eastAsia="黑体"/>
          <w:szCs w:val="28"/>
        </w:rPr>
        <w:t>ion</w:t>
      </w:r>
      <w:r>
        <w:rPr>
          <w:rFonts w:eastAsia="黑体"/>
          <w:szCs w:val="28"/>
        </w:rPr>
        <w:t xml:space="preserve"> based on the industrial chain</w:t>
      </w:r>
      <w:bookmarkEnd w:id="10"/>
    </w:p>
    <w:bookmarkEnd w:id="11"/>
    <w:p w14:paraId="3A956B5D">
      <w:pPr>
        <w:framePr w:w="9639" w:h="6974" w:hRule="exact" w:wrap="around" w:vAnchor="page" w:hAnchor="page" w:x="1419" w:y="6408" w:anchorLock="1"/>
        <w:spacing w:line="760" w:lineRule="exact"/>
        <w:ind w:left="-1418"/>
      </w:pPr>
    </w:p>
    <w:p w14:paraId="1144A4E2">
      <w:pPr>
        <w:pStyle w:val="129"/>
        <w:framePr w:w="9639" w:h="6974" w:hRule="exact" w:wrap="around" w:vAnchor="page" w:hAnchor="page" w:x="1419" w:y="6408" w:anchorLock="1"/>
        <w:textAlignment w:val="bottom"/>
        <w:rPr>
          <w:rFonts w:eastAsia="黑体"/>
          <w:szCs w:val="28"/>
        </w:rPr>
      </w:pPr>
    </w:p>
    <w:p w14:paraId="7ADA63F6">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征求意见稿"/>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征求意见稿</w:t>
      </w:r>
      <w:r>
        <w:rPr>
          <w:sz w:val="21"/>
          <w:szCs w:val="28"/>
        </w:rPr>
        <w:fldChar w:fldCharType="end"/>
      </w:r>
      <w:bookmarkEnd w:id="12"/>
    </w:p>
    <w:p w14:paraId="71D04905">
      <w:pPr>
        <w:pStyle w:val="197"/>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E8E3F8C">
      <w:pPr>
        <w:pStyle w:val="198"/>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1228CC15">
      <w:pPr>
        <w:pStyle w:val="155"/>
        <w:framePr w:h="584" w:hRule="exact" w:hSpace="181" w:vSpace="181" w:wrap="around" w:y="14800"/>
        <w:rPr>
          <w:rFonts w:hint="eastAsia" w:hAnsi="黑体"/>
        </w:rPr>
      </w:pPr>
      <w:r>
        <w:rPr>
          <w:rFonts w:hint="eastAsia" w:hAnsi="黑体"/>
          <w:w w:val="100"/>
          <w:sz w:val="28"/>
        </w:rPr>
        <w:t>中国国际贸易促进委员会商业行业委员会</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4229FC86">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bookmarkStart w:id="83" w:name="_GoBack"/>
      <w:bookmarkEnd w:id="83"/>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E1D0DFB">
      <w:pPr>
        <w:pStyle w:val="96"/>
        <w:spacing w:after="360"/>
      </w:pPr>
      <w:bookmarkStart w:id="19" w:name="BookMark1"/>
      <w:r>
        <w:rPr>
          <w:rFonts w:hint="eastAsia"/>
          <w:spacing w:val="320"/>
        </w:rPr>
        <w:t>目</w:t>
      </w:r>
      <w:r>
        <w:rPr>
          <w:rFonts w:hint="eastAsia"/>
        </w:rPr>
        <w:t>次</w:t>
      </w:r>
    </w:p>
    <w:p w14:paraId="40D3156D">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\z \u </w:instrText>
      </w:r>
      <w:r>
        <w:fldChar w:fldCharType="separate"/>
      </w:r>
      <w:r>
        <w:fldChar w:fldCharType="begin"/>
      </w:r>
      <w:r>
        <w:instrText xml:space="preserve"> HYPERLINK \l "_Toc203036626" </w:instrText>
      </w:r>
      <w:r>
        <w:fldChar w:fldCharType="separate"/>
      </w:r>
      <w:r>
        <w:rPr>
          <w:rStyle w:val="38"/>
          <w:rFonts w:hint="eastAsia"/>
          <w:spacing w:val="320"/>
        </w:rPr>
        <w:t>前</w:t>
      </w:r>
      <w:r>
        <w:rPr>
          <w:rStyle w:val="38"/>
          <w:rFonts w:hint="eastAsia"/>
        </w:rPr>
        <w:t>言</w:t>
      </w:r>
      <w:r>
        <w:rPr>
          <w:rFonts w:hint="eastAsia"/>
        </w:rPr>
        <w:tab/>
      </w:r>
      <w:r>
        <w:rPr>
          <w:rFonts w:hint="eastAsia"/>
        </w:rPr>
        <w:fldChar w:fldCharType="begin"/>
      </w:r>
      <w:r>
        <w:rPr>
          <w:rFonts w:hint="eastAsia"/>
        </w:rPr>
        <w:instrText xml:space="preserve"> </w:instrText>
      </w:r>
      <w:r>
        <w:instrText xml:space="preserve">PAGEREF _Toc203036626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CE9C7F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"_Toc203036627" </w:instrText>
      </w:r>
      <w:r>
        <w:fldChar w:fldCharType="separate"/>
      </w:r>
      <w:r>
        <w:rPr>
          <w:rStyle w:val="38"/>
          <w:rFonts w:hint="eastAsia"/>
          <w:spacing w:val="320"/>
        </w:rPr>
        <w:t>引</w:t>
      </w:r>
      <w:r>
        <w:rPr>
          <w:rStyle w:val="38"/>
          <w:rFonts w:hint="eastAsia"/>
        </w:rPr>
        <w:t>言</w:t>
      </w:r>
      <w:r>
        <w:rPr>
          <w:rFonts w:hint="eastAsia"/>
        </w:rPr>
        <w:tab/>
      </w:r>
      <w:r>
        <w:rPr>
          <w:rFonts w:hint="eastAsia"/>
        </w:rPr>
        <w:fldChar w:fldCharType="begin"/>
      </w:r>
      <w:r>
        <w:rPr>
          <w:rFonts w:hint="eastAsia"/>
        </w:rPr>
        <w:instrText xml:space="preserve"> </w:instrText>
      </w:r>
      <w:r>
        <w:instrText xml:space="preserve">PAGEREF _Toc203036627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FA958F9">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"_Toc203036628" </w:instrText>
      </w:r>
      <w:r>
        <w:fldChar w:fldCharType="separate"/>
      </w:r>
      <w:r>
        <w:rPr>
          <w:rStyle w:val="38"/>
          <w:rFonts w:hint="eastAsia"/>
        </w:rPr>
        <w:t>1 范围</w:t>
      </w:r>
      <w:r>
        <w:rPr>
          <w:rFonts w:hint="eastAsia"/>
        </w:rPr>
        <w:tab/>
      </w:r>
      <w:r>
        <w:rPr>
          <w:rFonts w:hint="eastAsia"/>
        </w:rPr>
        <w:fldChar w:fldCharType="begin"/>
      </w:r>
      <w:r>
        <w:rPr>
          <w:rFonts w:hint="eastAsia"/>
        </w:rPr>
        <w:instrText xml:space="preserve"> </w:instrText>
      </w:r>
      <w:r>
        <w:instrText xml:space="preserve">PAGEREF _Toc203036628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EC7273F">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"_Toc203036629" </w:instrText>
      </w:r>
      <w:r>
        <w:fldChar w:fldCharType="separate"/>
      </w:r>
      <w:r>
        <w:rPr>
          <w:rStyle w:val="38"/>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_Toc203036629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93946C0">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"_Toc203036630" </w:instrText>
      </w:r>
      <w:r>
        <w:fldChar w:fldCharType="separate"/>
      </w:r>
      <w:r>
        <w:rPr>
          <w:rStyle w:val="38"/>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_Toc203036630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55BE354">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"_Toc203036631" </w:instrText>
      </w:r>
      <w:r>
        <w:fldChar w:fldCharType="separate"/>
      </w:r>
      <w:r>
        <w:rPr>
          <w:rStyle w:val="38"/>
          <w:rFonts w:hint="eastAsia"/>
        </w:rPr>
        <w:t>4 基于产业链的供应链的构成与角色</w:t>
      </w:r>
      <w:r>
        <w:rPr>
          <w:rFonts w:hint="eastAsia"/>
        </w:rPr>
        <w:tab/>
      </w:r>
      <w:r>
        <w:rPr>
          <w:rFonts w:hint="eastAsia"/>
        </w:rPr>
        <w:fldChar w:fldCharType="begin"/>
      </w:r>
      <w:r>
        <w:rPr>
          <w:rFonts w:hint="eastAsia"/>
        </w:rPr>
        <w:instrText xml:space="preserve"> </w:instrText>
      </w:r>
      <w:r>
        <w:instrText xml:space="preserve">PAGEREF _Toc203036631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12CF47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"_Toc203036632" </w:instrText>
      </w:r>
      <w:r>
        <w:fldChar w:fldCharType="separate"/>
      </w:r>
      <w:r>
        <w:rPr>
          <w:rStyle w:val="38"/>
          <w:rFonts w:hint="eastAsia"/>
        </w:rPr>
        <w:t>5 基于产业链的供应链合作原则与框架</w:t>
      </w:r>
      <w:r>
        <w:rPr>
          <w:rFonts w:hint="eastAsia"/>
        </w:rPr>
        <w:tab/>
      </w:r>
      <w:r>
        <w:rPr>
          <w:rFonts w:hint="eastAsia"/>
        </w:rPr>
        <w:fldChar w:fldCharType="begin"/>
      </w:r>
      <w:r>
        <w:rPr>
          <w:rFonts w:hint="eastAsia"/>
        </w:rPr>
        <w:instrText xml:space="preserve"> </w:instrText>
      </w:r>
      <w:r>
        <w:instrText xml:space="preserve">PAGEREF _Toc203036632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4AB6940">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"_Toc203036633" </w:instrText>
      </w:r>
      <w:r>
        <w:fldChar w:fldCharType="separate"/>
      </w:r>
      <w:r>
        <w:rPr>
          <w:rStyle w:val="38"/>
          <w:rFonts w:hint="eastAsia"/>
        </w:rPr>
        <w:t>6 关系管理</w:t>
      </w:r>
      <w:r>
        <w:rPr>
          <w:rFonts w:hint="eastAsia"/>
        </w:rPr>
        <w:tab/>
      </w:r>
      <w:r>
        <w:rPr>
          <w:rFonts w:hint="eastAsia"/>
        </w:rPr>
        <w:fldChar w:fldCharType="begin"/>
      </w:r>
      <w:r>
        <w:rPr>
          <w:rFonts w:hint="eastAsia"/>
        </w:rPr>
        <w:instrText xml:space="preserve"> </w:instrText>
      </w:r>
      <w:r>
        <w:instrText xml:space="preserve">PAGEREF _Toc203036633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EF184EF">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"_Toc203036634" </w:instrText>
      </w:r>
      <w:r>
        <w:fldChar w:fldCharType="separate"/>
      </w:r>
      <w:r>
        <w:rPr>
          <w:rStyle w:val="38"/>
          <w:rFonts w:hint="eastAsia"/>
        </w:rPr>
        <w:t>7 愿景和价值观</w:t>
      </w:r>
      <w:r>
        <w:rPr>
          <w:rFonts w:hint="eastAsia"/>
        </w:rPr>
        <w:tab/>
      </w:r>
      <w:r>
        <w:rPr>
          <w:rFonts w:hint="eastAsia"/>
        </w:rPr>
        <w:fldChar w:fldCharType="begin"/>
      </w:r>
      <w:r>
        <w:rPr>
          <w:rFonts w:hint="eastAsia"/>
        </w:rPr>
        <w:instrText xml:space="preserve"> </w:instrText>
      </w:r>
      <w:r>
        <w:instrText xml:space="preserve">PAGEREF _Toc203036634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2857FA4">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"_Toc203036635" </w:instrText>
      </w:r>
      <w:r>
        <w:fldChar w:fldCharType="separate"/>
      </w:r>
      <w:r>
        <w:rPr>
          <w:rStyle w:val="38"/>
          <w:rFonts w:hint="eastAsia"/>
        </w:rPr>
        <w:t>8 业务目标</w:t>
      </w:r>
      <w:r>
        <w:rPr>
          <w:rFonts w:hint="eastAsia"/>
        </w:rPr>
        <w:tab/>
      </w:r>
      <w:r>
        <w:rPr>
          <w:rFonts w:hint="eastAsia"/>
        </w:rPr>
        <w:fldChar w:fldCharType="begin"/>
      </w:r>
      <w:r>
        <w:rPr>
          <w:rFonts w:hint="eastAsia"/>
        </w:rPr>
        <w:instrText xml:space="preserve"> </w:instrText>
      </w:r>
      <w:r>
        <w:instrText xml:space="preserve">PAGEREF _Toc203036635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67EA6F9">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"_Toc203036636" </w:instrText>
      </w:r>
      <w:r>
        <w:fldChar w:fldCharType="separate"/>
      </w:r>
      <w:r>
        <w:rPr>
          <w:rStyle w:val="38"/>
          <w:rFonts w:hint="eastAsia"/>
        </w:rPr>
        <w:t>9 合作的领导作用</w:t>
      </w:r>
      <w:r>
        <w:rPr>
          <w:rFonts w:hint="eastAsia"/>
        </w:rPr>
        <w:tab/>
      </w:r>
      <w:r>
        <w:rPr>
          <w:rFonts w:hint="eastAsia"/>
        </w:rPr>
        <w:fldChar w:fldCharType="begin"/>
      </w:r>
      <w:r>
        <w:rPr>
          <w:rFonts w:hint="eastAsia"/>
        </w:rPr>
        <w:instrText xml:space="preserve"> </w:instrText>
      </w:r>
      <w:r>
        <w:instrText xml:space="preserve">PAGEREF _Toc203036636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3D8639E">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"_Toc203036637" </w:instrText>
      </w:r>
      <w:r>
        <w:fldChar w:fldCharType="separate"/>
      </w:r>
      <w:r>
        <w:rPr>
          <w:rStyle w:val="38"/>
          <w:rFonts w:hint="eastAsia"/>
        </w:rPr>
        <w:t>10 治理和过程</w:t>
      </w:r>
      <w:r>
        <w:rPr>
          <w:rFonts w:hint="eastAsia"/>
        </w:rPr>
        <w:tab/>
      </w:r>
      <w:r>
        <w:rPr>
          <w:rFonts w:hint="eastAsia"/>
        </w:rPr>
        <w:fldChar w:fldCharType="begin"/>
      </w:r>
      <w:r>
        <w:rPr>
          <w:rFonts w:hint="eastAsia"/>
        </w:rPr>
        <w:instrText xml:space="preserve"> </w:instrText>
      </w:r>
      <w:r>
        <w:instrText xml:space="preserve">PAGEREF _Toc203036637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F7270FA">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"_Toc203036638" </w:instrText>
      </w:r>
      <w:r>
        <w:fldChar w:fldCharType="separate"/>
      </w:r>
      <w:r>
        <w:rPr>
          <w:rStyle w:val="38"/>
          <w:rFonts w:hint="eastAsia"/>
        </w:rPr>
        <w:t>11 合作能力和行为</w:t>
      </w:r>
      <w:r>
        <w:rPr>
          <w:rFonts w:hint="eastAsia"/>
        </w:rPr>
        <w:tab/>
      </w:r>
      <w:r>
        <w:rPr>
          <w:rFonts w:hint="eastAsia"/>
        </w:rPr>
        <w:fldChar w:fldCharType="begin"/>
      </w:r>
      <w:r>
        <w:rPr>
          <w:rFonts w:hint="eastAsia"/>
        </w:rPr>
        <w:instrText xml:space="preserve"> </w:instrText>
      </w:r>
      <w:r>
        <w:instrText xml:space="preserve">PAGEREF _Toc203036638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464F2B9">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"_Toc203036639" </w:instrText>
      </w:r>
      <w:r>
        <w:fldChar w:fldCharType="separate"/>
      </w:r>
      <w:r>
        <w:rPr>
          <w:rStyle w:val="38"/>
          <w:rFonts w:hint="eastAsia"/>
        </w:rPr>
        <w:t>12 互信与共同获益承诺</w:t>
      </w:r>
      <w:r>
        <w:rPr>
          <w:rFonts w:hint="eastAsia"/>
        </w:rPr>
        <w:tab/>
      </w:r>
      <w:r>
        <w:rPr>
          <w:rFonts w:hint="eastAsia"/>
        </w:rPr>
        <w:fldChar w:fldCharType="begin"/>
      </w:r>
      <w:r>
        <w:rPr>
          <w:rFonts w:hint="eastAsia"/>
        </w:rPr>
        <w:instrText xml:space="preserve"> </w:instrText>
      </w:r>
      <w:r>
        <w:instrText xml:space="preserve">PAGEREF _Toc203036639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FC07D20">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"_Toc203036640" </w:instrText>
      </w:r>
      <w:r>
        <w:fldChar w:fldCharType="separate"/>
      </w:r>
      <w:r>
        <w:rPr>
          <w:rStyle w:val="38"/>
          <w:rFonts w:hint="eastAsia"/>
        </w:rPr>
        <w:t>13 价值创造</w:t>
      </w:r>
      <w:r>
        <w:rPr>
          <w:rFonts w:hint="eastAsia"/>
        </w:rPr>
        <w:tab/>
      </w:r>
      <w:r>
        <w:rPr>
          <w:rFonts w:hint="eastAsia"/>
        </w:rPr>
        <w:fldChar w:fldCharType="begin"/>
      </w:r>
      <w:r>
        <w:rPr>
          <w:rFonts w:hint="eastAsia"/>
        </w:rPr>
        <w:instrText xml:space="preserve"> </w:instrText>
      </w:r>
      <w:r>
        <w:instrText xml:space="preserve">PAGEREF _Toc203036640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68CE6E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"_Toc203036641" </w:instrText>
      </w:r>
      <w:r>
        <w:fldChar w:fldCharType="separate"/>
      </w:r>
      <w:r>
        <w:rPr>
          <w:rStyle w:val="38"/>
          <w:rFonts w:hint="eastAsia"/>
        </w:rPr>
        <w:t>14 信息和知识共享</w:t>
      </w:r>
      <w:r>
        <w:rPr>
          <w:rFonts w:hint="eastAsia"/>
        </w:rPr>
        <w:tab/>
      </w:r>
      <w:r>
        <w:rPr>
          <w:rFonts w:hint="eastAsia"/>
        </w:rPr>
        <w:fldChar w:fldCharType="begin"/>
      </w:r>
      <w:r>
        <w:rPr>
          <w:rFonts w:hint="eastAsia"/>
        </w:rPr>
        <w:instrText xml:space="preserve"> </w:instrText>
      </w:r>
      <w:r>
        <w:instrText xml:space="preserve">PAGEREF _Toc203036641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5683012F">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"_Toc203036642" </w:instrText>
      </w:r>
      <w:r>
        <w:fldChar w:fldCharType="separate"/>
      </w:r>
      <w:r>
        <w:rPr>
          <w:rStyle w:val="38"/>
          <w:rFonts w:hint="eastAsia"/>
        </w:rPr>
        <w:t>15 风险管理</w:t>
      </w:r>
      <w:r>
        <w:rPr>
          <w:rFonts w:hint="eastAsia"/>
        </w:rPr>
        <w:tab/>
      </w:r>
      <w:r>
        <w:rPr>
          <w:rFonts w:hint="eastAsia"/>
        </w:rPr>
        <w:fldChar w:fldCharType="begin"/>
      </w:r>
      <w:r>
        <w:rPr>
          <w:rFonts w:hint="eastAsia"/>
        </w:rPr>
        <w:instrText xml:space="preserve"> </w:instrText>
      </w:r>
      <w:r>
        <w:instrText xml:space="preserve">PAGEREF _Toc203036642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7AD15D09">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"_Toc203036643" </w:instrText>
      </w:r>
      <w:r>
        <w:fldChar w:fldCharType="separate"/>
      </w:r>
      <w:r>
        <w:rPr>
          <w:rStyle w:val="38"/>
          <w:rFonts w:hint="eastAsia"/>
        </w:rPr>
        <w:t>16 关系测量和优化</w:t>
      </w:r>
      <w:r>
        <w:rPr>
          <w:rFonts w:hint="eastAsia"/>
        </w:rPr>
        <w:tab/>
      </w:r>
      <w:r>
        <w:rPr>
          <w:rFonts w:hint="eastAsia"/>
        </w:rPr>
        <w:fldChar w:fldCharType="begin"/>
      </w:r>
      <w:r>
        <w:rPr>
          <w:rFonts w:hint="eastAsia"/>
        </w:rPr>
        <w:instrText xml:space="preserve"> </w:instrText>
      </w:r>
      <w:r>
        <w:instrText xml:space="preserve">PAGEREF _Toc203036643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4CEB10DD">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"_Toc203036644" </w:instrText>
      </w:r>
      <w:r>
        <w:fldChar w:fldCharType="separate"/>
      </w:r>
      <w:r>
        <w:rPr>
          <w:rStyle w:val="38"/>
          <w:rFonts w:hint="eastAsia"/>
        </w:rPr>
        <w:t>17 退出策略</w:t>
      </w:r>
      <w:r>
        <w:rPr>
          <w:rFonts w:hint="eastAsia"/>
        </w:rPr>
        <w:tab/>
      </w:r>
      <w:r>
        <w:rPr>
          <w:rFonts w:hint="eastAsia"/>
        </w:rPr>
        <w:fldChar w:fldCharType="begin"/>
      </w:r>
      <w:r>
        <w:rPr>
          <w:rFonts w:hint="eastAsia"/>
        </w:rPr>
        <w:instrText xml:space="preserve"> </w:instrText>
      </w:r>
      <w:r>
        <w:instrText xml:space="preserve">PAGEREF _Toc203036644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70F2CC05">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"_Toc203036645" </w:instrText>
      </w:r>
      <w:r>
        <w:fldChar w:fldCharType="separate"/>
      </w:r>
      <w:r>
        <w:rPr>
          <w:rStyle w:val="38"/>
          <w:rFonts w:hint="eastAsia"/>
        </w:rPr>
        <w:t>18 实践案例</w:t>
      </w:r>
      <w:r>
        <w:rPr>
          <w:rFonts w:hint="eastAsia"/>
        </w:rPr>
        <w:tab/>
      </w:r>
      <w:r>
        <w:rPr>
          <w:rFonts w:hint="eastAsia"/>
        </w:rPr>
        <w:fldChar w:fldCharType="begin"/>
      </w:r>
      <w:r>
        <w:rPr>
          <w:rFonts w:hint="eastAsia"/>
        </w:rPr>
        <w:instrText xml:space="preserve"> </w:instrText>
      </w:r>
      <w:r>
        <w:instrText xml:space="preserve">PAGEREF _Toc203036645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2D89BE93">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"_Toc203036646" </w:instrText>
      </w:r>
      <w:r>
        <w:fldChar w:fldCharType="separate"/>
      </w:r>
      <w:r>
        <w:rPr>
          <w:rStyle w:val="38"/>
          <w:rFonts w:hint="eastAsia"/>
          <w:spacing w:val="100"/>
        </w:rPr>
        <w:t>附录A</w:t>
      </w:r>
      <w:r>
        <w:rPr>
          <w:rStyle w:val="38"/>
          <w:rFonts w:hint="eastAsia"/>
        </w:rPr>
        <w:t xml:space="preserve"> （资料性） 先进制造链企业供应链合作实践案例</w:t>
      </w:r>
      <w:r>
        <w:rPr>
          <w:rFonts w:hint="eastAsia"/>
        </w:rPr>
        <w:tab/>
      </w:r>
      <w:r>
        <w:rPr>
          <w:rFonts w:hint="eastAsia"/>
        </w:rPr>
        <w:fldChar w:fldCharType="begin"/>
      </w:r>
      <w:r>
        <w:rPr>
          <w:rFonts w:hint="eastAsia"/>
        </w:rPr>
        <w:instrText xml:space="preserve"> </w:instrText>
      </w:r>
      <w:r>
        <w:instrText xml:space="preserve">PAGEREF _Toc203036646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1860D07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"_Toc203036647" </w:instrText>
      </w:r>
      <w:r>
        <w:fldChar w:fldCharType="separate"/>
      </w:r>
      <w:r>
        <w:rPr>
          <w:rStyle w:val="38"/>
          <w:rFonts w:hint="eastAsia"/>
          <w:spacing w:val="100"/>
        </w:rPr>
        <w:t>附录B</w:t>
      </w:r>
      <w:r>
        <w:rPr>
          <w:rStyle w:val="38"/>
          <w:rFonts w:hint="eastAsia"/>
        </w:rPr>
        <w:t xml:space="preserve"> （资料性） 清洁能源链企业供应链合作实践案例</w:t>
      </w:r>
      <w:r>
        <w:rPr>
          <w:rFonts w:hint="eastAsia"/>
        </w:rPr>
        <w:tab/>
      </w:r>
      <w:r>
        <w:rPr>
          <w:rFonts w:hint="eastAsia"/>
        </w:rPr>
        <w:fldChar w:fldCharType="begin"/>
      </w:r>
      <w:r>
        <w:rPr>
          <w:rFonts w:hint="eastAsia"/>
        </w:rPr>
        <w:instrText xml:space="preserve"> </w:instrText>
      </w:r>
      <w:r>
        <w:instrText xml:space="preserve">PAGEREF _Toc203036647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552A2E82">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"_Toc203036648" </w:instrText>
      </w:r>
      <w:r>
        <w:fldChar w:fldCharType="separate"/>
      </w:r>
      <w:r>
        <w:rPr>
          <w:rStyle w:val="38"/>
          <w:rFonts w:hint="eastAsia"/>
          <w:spacing w:val="100"/>
        </w:rPr>
        <w:t>附录C</w:t>
      </w:r>
      <w:r>
        <w:rPr>
          <w:rStyle w:val="38"/>
          <w:rFonts w:hint="eastAsia"/>
        </w:rPr>
        <w:t xml:space="preserve"> （资料性） 智能汽车链企业供应链合作实践案例</w:t>
      </w:r>
      <w:r>
        <w:rPr>
          <w:rFonts w:hint="eastAsia"/>
        </w:rPr>
        <w:tab/>
      </w:r>
      <w:r>
        <w:rPr>
          <w:rFonts w:hint="eastAsia"/>
        </w:rPr>
        <w:fldChar w:fldCharType="begin"/>
      </w:r>
      <w:r>
        <w:rPr>
          <w:rFonts w:hint="eastAsia"/>
        </w:rPr>
        <w:instrText xml:space="preserve"> </w:instrText>
      </w:r>
      <w:r>
        <w:instrText xml:space="preserve">PAGEREF _Toc203036648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4E4723CB">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"_Toc203036649" </w:instrText>
      </w:r>
      <w:r>
        <w:fldChar w:fldCharType="separate"/>
      </w:r>
      <w:r>
        <w:rPr>
          <w:rStyle w:val="38"/>
          <w:rFonts w:hint="eastAsia"/>
          <w:spacing w:val="100"/>
        </w:rPr>
        <w:t>附录D</w:t>
      </w:r>
      <w:r>
        <w:rPr>
          <w:rStyle w:val="38"/>
          <w:rFonts w:hint="eastAsia"/>
        </w:rPr>
        <w:t xml:space="preserve"> （资料性） 数字科技链企业供应链合作实践案例</w:t>
      </w:r>
      <w:r>
        <w:rPr>
          <w:rFonts w:hint="eastAsia"/>
        </w:rPr>
        <w:tab/>
      </w:r>
      <w:r>
        <w:rPr>
          <w:rFonts w:hint="eastAsia"/>
        </w:rPr>
        <w:fldChar w:fldCharType="begin"/>
      </w:r>
      <w:r>
        <w:rPr>
          <w:rFonts w:hint="eastAsia"/>
        </w:rPr>
        <w:instrText xml:space="preserve"> </w:instrText>
      </w:r>
      <w:r>
        <w:instrText xml:space="preserve">PAGEREF _Toc203036649 \h</w:instrText>
      </w:r>
      <w:r>
        <w:rPr>
          <w:rFonts w:hint="eastAsia"/>
        </w:rPr>
        <w:instrText xml:space="preserve"> </w:instrText>
      </w:r>
      <w:r>
        <w:rPr>
          <w:rFonts w:hint="eastAsia"/>
        </w:rPr>
        <w:fldChar w:fldCharType="separate"/>
      </w:r>
      <w:r>
        <w:t>28</w:t>
      </w:r>
      <w:r>
        <w:rPr>
          <w:rFonts w:hint="eastAsia"/>
        </w:rPr>
        <w:fldChar w:fldCharType="end"/>
      </w:r>
      <w:r>
        <w:rPr>
          <w:rFonts w:hint="eastAsia"/>
        </w:rPr>
        <w:fldChar w:fldCharType="end"/>
      </w:r>
    </w:p>
    <w:p w14:paraId="1A34F22C">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"_Toc203036650" </w:instrText>
      </w:r>
      <w:r>
        <w:fldChar w:fldCharType="separate"/>
      </w:r>
      <w:r>
        <w:rPr>
          <w:rStyle w:val="38"/>
          <w:rFonts w:hint="eastAsia"/>
          <w:spacing w:val="100"/>
        </w:rPr>
        <w:t>附录E</w:t>
      </w:r>
      <w:r>
        <w:rPr>
          <w:rStyle w:val="38"/>
          <w:rFonts w:hint="eastAsia"/>
        </w:rPr>
        <w:t xml:space="preserve"> （资料性） 健康生活链企业供应链合作实践案例</w:t>
      </w:r>
      <w:r>
        <w:rPr>
          <w:rFonts w:hint="eastAsia"/>
        </w:rPr>
        <w:tab/>
      </w:r>
      <w:r>
        <w:rPr>
          <w:rFonts w:hint="eastAsia"/>
        </w:rPr>
        <w:fldChar w:fldCharType="begin"/>
      </w:r>
      <w:r>
        <w:rPr>
          <w:rFonts w:hint="eastAsia"/>
        </w:rPr>
        <w:instrText xml:space="preserve"> </w:instrText>
      </w:r>
      <w:r>
        <w:instrText xml:space="preserve">PAGEREF _Toc203036650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14:paraId="7C3B4A23">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"_Toc203036651" </w:instrText>
      </w:r>
      <w:r>
        <w:fldChar w:fldCharType="separate"/>
      </w:r>
      <w:r>
        <w:rPr>
          <w:rStyle w:val="38"/>
          <w:rFonts w:hint="eastAsia"/>
          <w:spacing w:val="100"/>
        </w:rPr>
        <w:t>附录F</w:t>
      </w:r>
      <w:r>
        <w:rPr>
          <w:rStyle w:val="38"/>
          <w:rFonts w:hint="eastAsia"/>
        </w:rPr>
        <w:t xml:space="preserve"> （资料性） 绿色农业链企业供应链合作实践案例</w:t>
      </w:r>
      <w:r>
        <w:rPr>
          <w:rFonts w:hint="eastAsia"/>
        </w:rPr>
        <w:tab/>
      </w:r>
      <w:r>
        <w:rPr>
          <w:rFonts w:hint="eastAsia"/>
        </w:rPr>
        <w:fldChar w:fldCharType="begin"/>
      </w:r>
      <w:r>
        <w:rPr>
          <w:rFonts w:hint="eastAsia"/>
        </w:rPr>
        <w:instrText xml:space="preserve"> </w:instrText>
      </w:r>
      <w:r>
        <w:instrText xml:space="preserve">PAGEREF _Toc203036651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09981DD9">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"_Toc203036652" </w:instrText>
      </w:r>
      <w:r>
        <w:fldChar w:fldCharType="separate"/>
      </w:r>
      <w:r>
        <w:rPr>
          <w:rStyle w:val="38"/>
          <w:rFonts w:hint="eastAsia"/>
          <w:spacing w:val="105"/>
        </w:rPr>
        <w:t>参考文</w:t>
      </w:r>
      <w:r>
        <w:rPr>
          <w:rStyle w:val="38"/>
          <w:rFonts w:hint="eastAsia"/>
        </w:rPr>
        <w:t>献</w:t>
      </w:r>
      <w:r>
        <w:rPr>
          <w:rFonts w:hint="eastAsia"/>
        </w:rPr>
        <w:tab/>
      </w:r>
      <w:r>
        <w:rPr>
          <w:rFonts w:hint="eastAsia"/>
        </w:rPr>
        <w:fldChar w:fldCharType="begin"/>
      </w:r>
      <w:r>
        <w:rPr>
          <w:rFonts w:hint="eastAsia"/>
        </w:rPr>
        <w:instrText xml:space="preserve"> </w:instrText>
      </w:r>
      <w:r>
        <w:instrText xml:space="preserve">PAGEREF _Toc203036652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6E2B5BED">
      <w:pPr>
        <w:pStyle w:val="96"/>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ascii="宋体" w:eastAsia="宋体"/>
          <w:sz w:val="21"/>
        </w:rPr>
        <w:fldChar w:fldCharType="end"/>
      </w:r>
    </w:p>
    <w:bookmarkEnd w:id="19"/>
    <w:p w14:paraId="12E59ABF">
      <w:pPr>
        <w:pStyle w:val="94"/>
        <w:spacing w:before="900" w:after="360"/>
      </w:pPr>
      <w:bookmarkStart w:id="20" w:name="_Toc203036626"/>
      <w:bookmarkStart w:id="21" w:name="BookMark2"/>
      <w:r>
        <w:rPr>
          <w:rFonts w:hint="eastAsia"/>
          <w:spacing w:val="320"/>
        </w:rPr>
        <w:t>前</w:t>
      </w:r>
      <w:r>
        <w:rPr>
          <w:rFonts w:hint="eastAsia"/>
        </w:rPr>
        <w:t>言</w:t>
      </w:r>
      <w:bookmarkEnd w:id="20"/>
    </w:p>
    <w:p w14:paraId="7DA914D9">
      <w:pPr>
        <w:pStyle w:val="4"/>
        <w:ind w:firstLine="420"/>
      </w:pPr>
      <w:r>
        <w:rPr>
          <w:rFonts w:hint="eastAsia"/>
        </w:rPr>
        <w:t>本文件按照GB/T 1.1—2020《标准化工作导则  第1部分：标准化文件的结构和起草规则》的规定起草。</w:t>
      </w:r>
    </w:p>
    <w:p w14:paraId="4B2D86A9">
      <w:pPr>
        <w:pStyle w:val="4"/>
        <w:ind w:firstLine="420"/>
      </w:pPr>
      <w:r>
        <w:rPr>
          <w:rFonts w:hint="eastAsia"/>
        </w:rPr>
        <w:t>请注意本文件的某些内容可能涉及专利。本文件的发布机构不承担识别专利的责任。</w:t>
      </w:r>
    </w:p>
    <w:p w14:paraId="264F8272">
      <w:pPr>
        <w:pStyle w:val="4"/>
        <w:ind w:firstLine="420"/>
      </w:pPr>
      <w:r>
        <w:rPr>
          <w:rFonts w:hint="eastAsia"/>
        </w:rPr>
        <w:t>本文件由中国国际贸易促进委员会商业行业委员会提出并归口。</w:t>
      </w:r>
    </w:p>
    <w:p w14:paraId="654EEE31">
      <w:pPr>
        <w:pStyle w:val="4"/>
        <w:ind w:firstLine="420"/>
      </w:pPr>
      <w:r>
        <w:rPr>
          <w:rFonts w:hint="eastAsia"/>
        </w:rPr>
        <w:t>本文件起草单位：。</w:t>
      </w:r>
    </w:p>
    <w:p w14:paraId="0BD26616">
      <w:pPr>
        <w:pStyle w:val="4"/>
        <w:ind w:firstLine="420"/>
      </w:pPr>
      <w:r>
        <w:rPr>
          <w:rFonts w:hint="eastAsia"/>
        </w:rPr>
        <w:t>本文件主要起草人：。</w:t>
      </w:r>
    </w:p>
    <w:p w14:paraId="6EBE2826">
      <w:pPr>
        <w:pStyle w:val="4"/>
        <w:ind w:firstLine="420"/>
      </w:pPr>
    </w:p>
    <w:p w14:paraId="11BB185F">
      <w:pPr>
        <w:pStyle w:val="4"/>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6EFFFB96">
      <w:pPr>
        <w:pStyle w:val="94"/>
        <w:spacing w:after="360"/>
      </w:pPr>
      <w:bookmarkStart w:id="22" w:name="_Toc203036627"/>
      <w:bookmarkStart w:id="23" w:name="BookMark3"/>
      <w:r>
        <w:rPr>
          <w:rFonts w:hint="eastAsia"/>
          <w:spacing w:val="320"/>
        </w:rPr>
        <w:t>引</w:t>
      </w:r>
      <w:r>
        <w:rPr>
          <w:rFonts w:hint="eastAsia"/>
        </w:rPr>
        <w:t>言</w:t>
      </w:r>
      <w:bookmarkEnd w:id="22"/>
    </w:p>
    <w:p w14:paraId="0F9A6233">
      <w:pPr>
        <w:pStyle w:val="4"/>
        <w:ind w:firstLine="420"/>
      </w:pPr>
      <w:r>
        <w:rPr>
          <w:rFonts w:hint="eastAsia"/>
        </w:rPr>
        <w:t>当今世界百年变局加速演进，经济全球化遭遇逆流，国际格局复杂演变，贸易保护主义及地缘政治博弈持续加剧，全球供应链产业链面临深度重构，区域化、多元化、碎片化特征日益凸显，如何维护全球产业链供应链的稳定与畅通，提升其韧性与竞争力，已成为各国的共同关切与迫切需求。在此背景下，产业链供应链协同的重要性愈发凸显，稳固并加强产业链供应链合作成为推动全球产业链供应链稳定发展的关键路径。</w:t>
      </w:r>
    </w:p>
    <w:p w14:paraId="6579A29B">
      <w:pPr>
        <w:pStyle w:val="4"/>
        <w:ind w:firstLine="420"/>
      </w:pPr>
      <w:r>
        <w:rPr>
          <w:rFonts w:hint="eastAsia"/>
        </w:rPr>
        <w:t>中国国际供应链促进博览会（以下简称链博会）作为全球首个以供应链为主题的国家级展会，设置先进制造链、清洁能源链、智能汽车链、数字科技链、健康生活链、绿色农业链等6大链条和供应链服务展区，致力于促进上中下游衔接、大中小企业融通、产学研用协同、中外企业互动，帮助各国企业更好地融入全球产业链供应链，维护全球产业链供应链的韧性和稳定，不仅为全球产业链供应链的国际合作搭建了重要平台，还为建设更加安全稳定、开放包容的全球产业链供应链做出积极贡献。</w:t>
      </w:r>
    </w:p>
    <w:p w14:paraId="13142989">
      <w:pPr>
        <w:pStyle w:val="4"/>
        <w:ind w:firstLine="420"/>
      </w:pPr>
      <w:r>
        <w:t>供应链</w:t>
      </w:r>
      <w:r>
        <w:rPr>
          <w:rFonts w:hint="eastAsia"/>
        </w:rPr>
        <w:t>合作</w:t>
      </w:r>
      <w:r>
        <w:t>的核心目标是将各参与企业的专业知识和技能进行整合，从而为商业伙伴和终端消费者带来共同利益。</w:t>
      </w:r>
      <w:r>
        <w:rPr>
          <w:rFonts w:hint="eastAsia"/>
        </w:rPr>
        <w:t>实践证明，</w:t>
      </w:r>
      <w:r>
        <w:t>有效的</w:t>
      </w:r>
      <w:r>
        <w:rPr>
          <w:rFonts w:hint="eastAsia"/>
        </w:rPr>
        <w:t>供应链合作</w:t>
      </w:r>
      <w:r>
        <w:t>能够提高整体供应链的反应速度和市场适应性。</w:t>
      </w:r>
      <w:r>
        <w:rPr>
          <w:rFonts w:hint="eastAsia"/>
        </w:rPr>
        <w:t>单纯的供应链合作往往聚焦于企业间的物流、采购、库存及成本效率优化，容易忽视供应链上游资源配置与下游市场需求之间的战略性联动。而基于产业链的供应链合作，强调以产业链整体发展为导向，通过整合与优化供应链各环节资源，实现上下游企业之间在价值、战略、技术、生产、物流、信息以及市场等方面的深度合作，</w:t>
      </w:r>
      <w:r>
        <w:t>不仅</w:t>
      </w:r>
      <w:r>
        <w:rPr>
          <w:rFonts w:hint="eastAsia"/>
        </w:rPr>
        <w:t>涵盖了</w:t>
      </w:r>
      <w:r>
        <w:t>供应链管理范畴内的效率优化问题，更</w:t>
      </w:r>
      <w:r>
        <w:rPr>
          <w:rFonts w:hint="eastAsia"/>
        </w:rPr>
        <w:t>聚焦</w:t>
      </w:r>
      <w:r>
        <w:t>产业链层面的系统性战略问题，</w:t>
      </w:r>
      <w:r>
        <w:rPr>
          <w:rFonts w:hint="eastAsia"/>
        </w:rPr>
        <w:t>服务于国家产业升级和高质量发展的整体目标，</w:t>
      </w:r>
      <w:r>
        <w:t>符合我国当前推进产业链现代化与强化产业链供应链韧性的现实需求。</w:t>
      </w:r>
    </w:p>
    <w:p w14:paraId="4C5C3B52">
      <w:pPr>
        <w:pStyle w:val="4"/>
        <w:ind w:firstLine="420"/>
      </w:pPr>
      <w:r>
        <w:rPr>
          <w:rFonts w:hint="eastAsia"/>
        </w:rPr>
        <w:t>目前，国际标准化组织（ISO）合作业务关系管理技术委员会（ISO/TC 286）已发布了系列合作业务关系管理标准，例如，ISO/TR 44000:2019《成功的合作业务关系管理的原则》、ISO 44001:2017《协作业务关系管理体系 要求和框架》等，为不同类型的组织开展合作提供了国际通用的方法论和实践指导。同时，这些国际标准已被我国等同采用为国家标准，便于国内相关方理解和应用实施合作业务管理系列标准。</w:t>
      </w:r>
    </w:p>
    <w:p w14:paraId="79DC6C92">
      <w:pPr>
        <w:pStyle w:val="4"/>
        <w:ind w:firstLine="420"/>
      </w:pPr>
      <w:r>
        <w:t>在此背景下，为了更好地推动我国产业链供应链的协同发展，</w:t>
      </w:r>
      <w:r>
        <w:rPr>
          <w:rFonts w:hint="eastAsia"/>
        </w:rPr>
        <w:t>特</w:t>
      </w:r>
      <w:r>
        <w:t>制定</w:t>
      </w:r>
      <w:r>
        <w:rPr>
          <w:rFonts w:hint="eastAsia"/>
        </w:rPr>
        <w:t>本文件。本文件</w:t>
      </w:r>
      <w:r>
        <w:t>结合我国</w:t>
      </w:r>
      <w:r>
        <w:rPr>
          <w:rFonts w:hint="eastAsia"/>
        </w:rPr>
        <w:t>基于</w:t>
      </w:r>
      <w:r>
        <w:t>产业链</w:t>
      </w:r>
      <w:r>
        <w:rPr>
          <w:rFonts w:hint="eastAsia"/>
        </w:rPr>
        <w:t>的</w:t>
      </w:r>
      <w:r>
        <w:t>供应链</w:t>
      </w:r>
      <w:r>
        <w:rPr>
          <w:rFonts w:hint="eastAsia"/>
        </w:rPr>
        <w:t>合作</w:t>
      </w:r>
      <w:r>
        <w:t>的实际需求，</w:t>
      </w:r>
      <w:r>
        <w:rPr>
          <w:rFonts w:hint="eastAsia"/>
        </w:rPr>
        <w:t>遵循GB/Z 41838(采标ISO/TR 44000)给出的十二项原则，并</w:t>
      </w:r>
      <w:r>
        <w:t>借鉴链博会的成功经验，从产业链的全局出发，为供应链合作提供系统性、针对性的指导</w:t>
      </w:r>
      <w:r>
        <w:rPr>
          <w:rFonts w:hint="eastAsia"/>
        </w:rPr>
        <w:t>：</w:t>
      </w:r>
    </w:p>
    <w:p w14:paraId="3F5F9B09">
      <w:pPr>
        <w:pStyle w:val="136"/>
      </w:pPr>
      <w:r>
        <w:rPr>
          <w:rFonts w:hint="eastAsia"/>
        </w:rPr>
        <w:t>理解基于产业链的供应链合作，</w:t>
      </w:r>
      <w:r>
        <w:t>探索</w:t>
      </w:r>
      <w:r>
        <w:rPr>
          <w:rFonts w:hint="eastAsia"/>
        </w:rPr>
        <w:t>其合</w:t>
      </w:r>
      <w:r>
        <w:t>作边界，确定</w:t>
      </w:r>
      <w:r>
        <w:rPr>
          <w:rFonts w:hint="eastAsia"/>
        </w:rPr>
        <w:t>其合</w:t>
      </w:r>
      <w:r>
        <w:t>作</w:t>
      </w:r>
      <w:r>
        <w:rPr>
          <w:rFonts w:hint="eastAsia"/>
        </w:rPr>
        <w:t>要素；</w:t>
      </w:r>
    </w:p>
    <w:p w14:paraId="183E0B1D">
      <w:pPr>
        <w:pStyle w:val="136"/>
      </w:pPr>
      <w:r>
        <w:rPr>
          <w:rFonts w:hint="eastAsia"/>
        </w:rPr>
        <w:t>明确合作的指导方针和建议，指导企业成功地实施供应链合作；</w:t>
      </w:r>
    </w:p>
    <w:p w14:paraId="03383A4F">
      <w:pPr>
        <w:pStyle w:val="136"/>
      </w:pPr>
      <w:r>
        <w:t>助力产业链供应链高质量发展，提升我国在全球产业链供应链中的地位和影响力</w:t>
      </w:r>
      <w:r>
        <w:rPr>
          <w:rFonts w:hint="eastAsia"/>
        </w:rPr>
        <w:t>。</w:t>
      </w:r>
    </w:p>
    <w:p w14:paraId="294204B5">
      <w:pPr>
        <w:pStyle w:val="4"/>
        <w:ind w:firstLine="420"/>
      </w:pPr>
    </w:p>
    <w:p w14:paraId="7A75D966">
      <w:pPr>
        <w:pStyle w:val="4"/>
        <w:ind w:firstLine="420"/>
      </w:pPr>
    </w:p>
    <w:p w14:paraId="25946A4A">
      <w:pPr>
        <w:pStyle w:val="4"/>
        <w:ind w:firstLine="199" w:firstLineChars="95"/>
        <w:sectPr>
          <w:pgSz w:w="11906" w:h="16838"/>
          <w:pgMar w:top="1928" w:right="1134" w:bottom="1134" w:left="1134" w:header="1418" w:footer="1134" w:gutter="284"/>
          <w:pgNumType w:fmt="upperRoman"/>
          <w:cols w:space="425" w:num="1"/>
          <w:formProt w:val="0"/>
          <w:docGrid w:linePitch="312" w:charSpace="0"/>
        </w:sectPr>
      </w:pPr>
    </w:p>
    <w:bookmarkEnd w:id="23"/>
    <w:p w14:paraId="5FC971AD">
      <w:pPr>
        <w:spacing w:line="20" w:lineRule="exact"/>
        <w:jc w:val="center"/>
        <w:rPr>
          <w:rFonts w:hint="eastAsia" w:ascii="黑体" w:hAnsi="黑体" w:eastAsia="黑体"/>
          <w:sz w:val="32"/>
          <w:szCs w:val="32"/>
        </w:rPr>
      </w:pPr>
      <w:bookmarkStart w:id="24" w:name="BookMark4"/>
    </w:p>
    <w:p w14:paraId="4E1AE140">
      <w:pPr>
        <w:spacing w:line="20" w:lineRule="exact"/>
        <w:jc w:val="center"/>
        <w:rPr>
          <w:rFonts w:hint="eastAsia" w:ascii="黑体" w:hAnsi="黑体" w:eastAsia="黑体"/>
          <w:sz w:val="32"/>
          <w:szCs w:val="32"/>
        </w:rPr>
      </w:pPr>
    </w:p>
    <w:sdt>
      <w:sdtPr>
        <w:tag w:val="NEW_STAND_NAME"/>
        <w:id w:val="595910757"/>
        <w:lock w:val="sdtLocked"/>
        <w:placeholder>
          <w:docPart w:val="B0BCEB1845254CD09FEE4E8C34EC6DF8"/>
        </w:placeholder>
      </w:sdtPr>
      <w:sdtContent>
        <w:p w14:paraId="78402133">
          <w:pPr>
            <w:pStyle w:val="181"/>
            <w:rPr>
              <w:rFonts w:hint="eastAsia"/>
            </w:rPr>
          </w:pPr>
          <w:bookmarkStart w:id="25" w:name="NEW_STAND_NAME"/>
          <w:r>
            <w:rPr>
              <w:rFonts w:hint="eastAsia"/>
            </w:rPr>
            <w:t>基于产业链的供应链合作指南</w:t>
          </w:r>
        </w:p>
      </w:sdtContent>
    </w:sdt>
    <w:bookmarkEnd w:id="25"/>
    <w:p w14:paraId="4F469045">
      <w:pPr>
        <w:pStyle w:val="2"/>
      </w:pPr>
      <w:bookmarkStart w:id="26" w:name="_Toc97192964"/>
      <w:bookmarkStart w:id="27" w:name="_Toc26986771"/>
      <w:bookmarkStart w:id="28" w:name="_Toc26718930"/>
      <w:bookmarkStart w:id="29" w:name="_Toc24884211"/>
      <w:bookmarkStart w:id="30" w:name="_Toc17233333"/>
      <w:bookmarkStart w:id="31" w:name="_Toc26986530"/>
      <w:bookmarkStart w:id="32" w:name="_Toc26648465"/>
      <w:bookmarkStart w:id="33" w:name="_Toc24884218"/>
      <w:bookmarkStart w:id="34" w:name="_Toc17233325"/>
      <w:bookmarkStart w:id="35" w:name="_Toc203036628"/>
      <w:r>
        <w:rPr>
          <w:rFonts w:hint="eastAsia"/>
        </w:rPr>
        <w:t>范围</w:t>
      </w:r>
      <w:bookmarkEnd w:id="26"/>
      <w:bookmarkEnd w:id="27"/>
      <w:bookmarkEnd w:id="28"/>
      <w:bookmarkEnd w:id="29"/>
      <w:bookmarkEnd w:id="30"/>
      <w:bookmarkEnd w:id="31"/>
      <w:bookmarkEnd w:id="32"/>
      <w:bookmarkEnd w:id="33"/>
      <w:bookmarkEnd w:id="34"/>
      <w:bookmarkEnd w:id="35"/>
    </w:p>
    <w:p w14:paraId="4C560122">
      <w:pPr>
        <w:pStyle w:val="4"/>
        <w:ind w:firstLine="420"/>
      </w:pPr>
      <w:bookmarkStart w:id="36" w:name="OLE_LINK1"/>
      <w:bookmarkStart w:id="37" w:name="_Toc24884219"/>
      <w:bookmarkStart w:id="38" w:name="_Toc24884212"/>
      <w:bookmarkStart w:id="39" w:name="_Toc26648466"/>
      <w:bookmarkStart w:id="40" w:name="_Toc17233334"/>
      <w:bookmarkStart w:id="41" w:name="_Toc17233326"/>
      <w:r>
        <w:rPr>
          <w:rFonts w:hint="eastAsia"/>
        </w:rPr>
        <w:t>本文件明确了基于产业链的供应链的构成和角色、合作原则和框架，给出了基于产业链的供应链成员实施关系管理、愿景和价值观、业务目标、合作的领导作用、治理和过程、合作能力和行为、互信与共同获益承诺、价值创造、信息和知识共享、风险管理、关系测量和优化、退出策略等十二项原则的建议，并给出了特定产业链的供应链合作案例。</w:t>
      </w:r>
    </w:p>
    <w:p w14:paraId="7A545352">
      <w:pPr>
        <w:pStyle w:val="4"/>
        <w:ind w:firstLine="420"/>
      </w:pPr>
      <w:r>
        <w:rPr>
          <w:rFonts w:hint="eastAsia"/>
        </w:rPr>
        <w:t>本文件适用于供应链链主企业、上游企业、中游企业和下游企业之间的合作活动。</w:t>
      </w:r>
    </w:p>
    <w:bookmarkEnd w:id="36"/>
    <w:p w14:paraId="2D24F6EB">
      <w:pPr>
        <w:pStyle w:val="2"/>
      </w:pPr>
      <w:bookmarkStart w:id="42" w:name="_Toc26718931"/>
      <w:bookmarkStart w:id="43" w:name="_Toc26986531"/>
      <w:bookmarkStart w:id="44" w:name="_Toc26986772"/>
      <w:bookmarkStart w:id="45" w:name="_Toc97192965"/>
      <w:bookmarkStart w:id="46" w:name="_Toc203036629"/>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7151BE4E4F44FF4A325BF7CD0C9C9D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E2150C9">
          <w:pPr>
            <w:pStyle w:val="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6E06EE">
      <w:pPr>
        <w:widowControl/>
        <w:adjustRightInd/>
        <w:spacing w:line="240" w:lineRule="auto"/>
        <w:ind w:firstLine="420" w:firstLineChars="200"/>
        <w:jc w:val="left"/>
        <w:rPr>
          <w:rFonts w:hint="eastAsia" w:ascii="宋体" w:hAnsi="宋体" w:cs="宋体"/>
          <w:kern w:val="0"/>
        </w:rPr>
      </w:pPr>
      <w:bookmarkStart w:id="47" w:name="_Toc97192966"/>
      <w:r>
        <w:rPr>
          <w:rFonts w:hint="eastAsia" w:ascii="宋体" w:hAnsi="宋体" w:cs="宋体"/>
          <w:kern w:val="0"/>
        </w:rPr>
        <w:t>GB/Z 41838 成功的合作业务关系管理原则</w:t>
      </w:r>
    </w:p>
    <w:p w14:paraId="30CDCCAA">
      <w:pPr>
        <w:pStyle w:val="2"/>
      </w:pPr>
      <w:bookmarkStart w:id="48" w:name="_Toc203036630"/>
      <w:r>
        <w:rPr>
          <w:rFonts w:hint="eastAsia"/>
        </w:rPr>
        <w:t>术语和定义</w:t>
      </w:r>
      <w:bookmarkEnd w:id="47"/>
      <w:bookmarkEnd w:id="48"/>
    </w:p>
    <w:sdt>
      <w:sdtPr>
        <w:rPr>
          <w:rFonts w:hint="eastAsia"/>
        </w:rPr>
        <w:id w:val="-1909835108"/>
        <w:placeholder>
          <w:docPart w:val="1BBB23461C044762B155F45E775876B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578A4EC6">
          <w:pPr>
            <w:pStyle w:val="4"/>
            <w:spacing w:before="240" w:beforeLines="100" w:after="240" w:afterLines="100"/>
            <w:ind w:firstLine="420"/>
          </w:pPr>
          <w:bookmarkStart w:id="49" w:name="_Toc26986532"/>
          <w:bookmarkEnd w:id="49"/>
          <w:r>
            <w:rPr>
              <w:rFonts w:hint="eastAsia"/>
            </w:rPr>
            <w:t>下列术语和定义适用于本文件。</w:t>
          </w:r>
        </w:p>
      </w:sdtContent>
    </w:sdt>
    <w:p w14:paraId="65B36741">
      <w:pPr>
        <w:pStyle w:val="227"/>
        <w:ind w:left="420" w:hanging="420" w:hangingChars="200"/>
        <w:rPr>
          <w:rFonts w:hint="eastAsia" w:ascii="黑体" w:hAnsi="黑体" w:eastAsia="黑体"/>
        </w:rPr>
      </w:pPr>
      <w:bookmarkStart w:id="50" w:name="_Toc17496"/>
      <w:bookmarkStart w:id="51" w:name="_Toc178181332"/>
    </w:p>
    <w:p w14:paraId="12ED6401">
      <w:pPr>
        <w:pStyle w:val="227"/>
        <w:numPr>
          <w:ilvl w:val="0"/>
          <w:numId w:val="0"/>
        </w:numPr>
        <w:ind w:left="420"/>
        <w:rPr>
          <w:rFonts w:hint="eastAsia" w:ascii="黑体" w:hAnsi="黑体" w:eastAsia="黑体"/>
        </w:rPr>
      </w:pPr>
      <w:r>
        <w:rPr>
          <w:rFonts w:hint="eastAsia" w:ascii="黑体" w:hAnsi="黑体" w:eastAsia="黑体"/>
        </w:rPr>
        <w:t>产业链</w:t>
      </w:r>
      <w:r>
        <w:rPr>
          <w:rFonts w:ascii="黑体" w:hAnsi="黑体" w:eastAsia="黑体"/>
        </w:rPr>
        <w:t xml:space="preserve"> </w:t>
      </w:r>
      <w:bookmarkEnd w:id="50"/>
      <w:bookmarkEnd w:id="51"/>
      <w:r>
        <w:rPr>
          <w:rFonts w:hint="eastAsia" w:ascii="黑体" w:hAnsi="黑体" w:eastAsia="黑体"/>
        </w:rPr>
        <w:t>industrial chain</w:t>
      </w:r>
    </w:p>
    <w:p w14:paraId="469BDC9C">
      <w:pPr>
        <w:pStyle w:val="4"/>
        <w:ind w:firstLine="420"/>
      </w:pPr>
      <w:r>
        <w:rPr>
          <w:rFonts w:hint="eastAsia"/>
        </w:rPr>
        <w:t>以分工协作为基础，以产业联系为纽带，以企业为主体的链网状产业组织系统。</w:t>
      </w:r>
    </w:p>
    <w:p w14:paraId="650ACF0C">
      <w:pPr>
        <w:pStyle w:val="184"/>
      </w:pPr>
      <w:r>
        <w:rPr>
          <w:rFonts w:hint="eastAsia"/>
        </w:rPr>
        <w:t>产业链的本质是产业关联，即产业相互之间的供给与需求关系。</w:t>
      </w:r>
    </w:p>
    <w:p w14:paraId="312DAEA9">
      <w:pPr>
        <w:pStyle w:val="184"/>
      </w:pPr>
      <w:r>
        <w:rPr>
          <w:rFonts w:hint="eastAsia"/>
        </w:rPr>
        <w:t>产业链不仅存在于按产品生产过程发展的纵向结构，正如供应链一样，包括从研发、设计、原材料采购、原料加工、半成品生产、成品生产、销售到售后服务等跨企业的合作链条，还包括在每一个节点上的横向结构，即各企业之间的竞合关系。</w:t>
      </w:r>
    </w:p>
    <w:p w14:paraId="2150ABD7">
      <w:pPr>
        <w:pStyle w:val="227"/>
        <w:ind w:left="420" w:hanging="420" w:hangingChars="200"/>
        <w:rPr>
          <w:rFonts w:hint="eastAsia" w:ascii="黑体" w:hAnsi="黑体" w:eastAsia="黑体"/>
        </w:rPr>
      </w:pPr>
    </w:p>
    <w:p w14:paraId="29087236">
      <w:pPr>
        <w:pStyle w:val="227"/>
        <w:numPr>
          <w:ilvl w:val="0"/>
          <w:numId w:val="0"/>
        </w:numPr>
        <w:ind w:left="420"/>
        <w:rPr>
          <w:rFonts w:hint="eastAsia" w:ascii="黑体" w:hAnsi="黑体" w:eastAsia="黑体"/>
        </w:rPr>
      </w:pPr>
      <w:r>
        <w:rPr>
          <w:rFonts w:hint="eastAsia" w:ascii="黑体" w:hAnsi="黑体" w:eastAsia="黑体"/>
        </w:rPr>
        <w:t>供应链 supply chain</w:t>
      </w:r>
    </w:p>
    <w:p w14:paraId="31F1CA8E">
      <w:pPr>
        <w:pStyle w:val="4"/>
        <w:ind w:firstLine="420"/>
      </w:pPr>
      <w:r>
        <w:rPr>
          <w:rFonts w:hint="eastAsia"/>
        </w:rPr>
        <w:t>围绕核心产品和服务，与产品研发、原材料采购、零部件生产和运输、产品的组装和分销，直至最终消费的整个过程紧密联系和高效协同的组织形态。</w:t>
      </w:r>
    </w:p>
    <w:p w14:paraId="09EC8AA6">
      <w:pPr>
        <w:pStyle w:val="184"/>
        <w:numPr>
          <w:ilvl w:val="0"/>
          <w:numId w:val="32"/>
        </w:numPr>
      </w:pPr>
      <w:r>
        <w:rPr>
          <w:rFonts w:hint="eastAsia"/>
        </w:rPr>
        <w:t>产业链包含供应链，供应链是产业链的核心。</w:t>
      </w:r>
    </w:p>
    <w:p w14:paraId="69FF89D8">
      <w:pPr>
        <w:pStyle w:val="184"/>
        <w:numPr>
          <w:ilvl w:val="0"/>
          <w:numId w:val="32"/>
        </w:numPr>
      </w:pPr>
      <w:r>
        <w:rPr>
          <w:rFonts w:hint="eastAsia"/>
        </w:rPr>
        <w:t>产业链以产业为节点，供应链以企业为节点。</w:t>
      </w:r>
    </w:p>
    <w:p w14:paraId="0E4FFFC6">
      <w:pPr>
        <w:pStyle w:val="184"/>
      </w:pPr>
      <w:r>
        <w:rPr>
          <w:rFonts w:hint="eastAsia"/>
        </w:rPr>
        <w:t>产业链更多强调围绕核心产品的产业间组织形态，而供应链更多以企业间的联系为主要形式。</w:t>
      </w:r>
      <w:r>
        <w:rPr>
          <w:rFonts w:ascii="黑体" w:hAnsi="黑体" w:eastAsia="黑体"/>
        </w:rPr>
        <w:br w:type="textWrapping"/>
      </w:r>
      <w:bookmarkStart w:id="52" w:name="_Toc14709"/>
      <w:bookmarkStart w:id="53" w:name="_Toc178181345"/>
    </w:p>
    <w:p w14:paraId="066E5AF0">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供应链合作 supply chain collaboration</w:t>
      </w:r>
    </w:p>
    <w:p w14:paraId="019E9936">
      <w:pPr>
        <w:pStyle w:val="4"/>
        <w:ind w:firstLine="420"/>
      </w:pPr>
      <w:r>
        <w:rPr>
          <w:rFonts w:hint="eastAsia"/>
        </w:rPr>
        <w:t>供应链成员通过合作创造竞争优势和更高利润的行为。</w:t>
      </w:r>
    </w:p>
    <w:p w14:paraId="57A39A4E">
      <w:pPr>
        <w:pStyle w:val="184"/>
        <w:numPr>
          <w:ilvl w:val="0"/>
          <w:numId w:val="33"/>
        </w:numPr>
      </w:pPr>
      <w:r>
        <w:rPr>
          <w:rFonts w:hint="eastAsia"/>
        </w:rPr>
        <w:t>具体而言，指两家或更多供应链成员基于开放和信任的关系，通过共享信息、共同决策和分享收益，以更有竞争力的优势有效满足终端客户需求而开展的紧密合作。</w:t>
      </w:r>
    </w:p>
    <w:p w14:paraId="3CC99352">
      <w:pPr>
        <w:pStyle w:val="184"/>
        <w:numPr>
          <w:ilvl w:val="0"/>
          <w:numId w:val="33"/>
        </w:numPr>
      </w:pPr>
      <w:r>
        <w:rPr>
          <w:rFonts w:hint="eastAsia"/>
        </w:rPr>
        <w:t>一般来说，供应链成员包括：</w:t>
      </w:r>
    </w:p>
    <w:p w14:paraId="79EA7181">
      <w:pPr>
        <w:pStyle w:val="136"/>
        <w:ind w:left="1213"/>
        <w:rPr>
          <w:sz w:val="18"/>
          <w:szCs w:val="18"/>
        </w:rPr>
      </w:pPr>
      <w:r>
        <w:rPr>
          <w:rFonts w:hint="eastAsia"/>
          <w:sz w:val="18"/>
          <w:szCs w:val="18"/>
        </w:rPr>
        <w:t>供应商：提供原材料和零部件。</w:t>
      </w:r>
    </w:p>
    <w:p w14:paraId="32114F42">
      <w:pPr>
        <w:pStyle w:val="136"/>
        <w:ind w:left="1213"/>
        <w:rPr>
          <w:sz w:val="18"/>
          <w:szCs w:val="18"/>
        </w:rPr>
      </w:pPr>
      <w:r>
        <w:rPr>
          <w:rFonts w:hint="eastAsia"/>
          <w:sz w:val="18"/>
          <w:szCs w:val="18"/>
        </w:rPr>
        <w:t>制造商：负责产品的生产和加工。</w:t>
      </w:r>
    </w:p>
    <w:p w14:paraId="5D1A784F">
      <w:pPr>
        <w:pStyle w:val="136"/>
        <w:ind w:left="1213"/>
        <w:rPr>
          <w:sz w:val="18"/>
          <w:szCs w:val="18"/>
        </w:rPr>
      </w:pPr>
      <w:r>
        <w:rPr>
          <w:rFonts w:hint="eastAsia"/>
          <w:sz w:val="18"/>
          <w:szCs w:val="18"/>
        </w:rPr>
        <w:t>分销商：负责产品的分销和物流。</w:t>
      </w:r>
    </w:p>
    <w:p w14:paraId="5B8646AA">
      <w:pPr>
        <w:pStyle w:val="136"/>
        <w:ind w:left="1213"/>
        <w:rPr>
          <w:sz w:val="18"/>
          <w:szCs w:val="18"/>
        </w:rPr>
      </w:pPr>
      <w:r>
        <w:rPr>
          <w:rFonts w:hint="eastAsia"/>
          <w:sz w:val="18"/>
          <w:szCs w:val="18"/>
        </w:rPr>
        <w:t>零售商：负责产品的销售和客户服务。</w:t>
      </w:r>
    </w:p>
    <w:p w14:paraId="3DA6216F">
      <w:pPr>
        <w:pStyle w:val="136"/>
        <w:ind w:left="1213"/>
        <w:rPr>
          <w:sz w:val="18"/>
          <w:szCs w:val="18"/>
        </w:rPr>
      </w:pPr>
      <w:r>
        <w:rPr>
          <w:rFonts w:hint="eastAsia"/>
          <w:sz w:val="18"/>
          <w:szCs w:val="18"/>
        </w:rPr>
        <w:t>消费者：最终购买和使用产品的人。</w:t>
      </w:r>
    </w:p>
    <w:p w14:paraId="5ACE25C6">
      <w:pPr>
        <w:pStyle w:val="227"/>
        <w:ind w:left="420" w:hanging="420" w:hangingChars="200"/>
        <w:rPr>
          <w:rFonts w:hint="eastAsia" w:ascii="黑体" w:hAnsi="黑体" w:eastAsia="黑体"/>
        </w:rPr>
      </w:pPr>
      <w:bookmarkStart w:id="54" w:name="OLE_LINK3"/>
      <w:r>
        <w:rPr>
          <w:rFonts w:ascii="黑体" w:hAnsi="黑体" w:eastAsia="黑体"/>
        </w:rPr>
        <w:br w:type="textWrapping"/>
      </w:r>
      <w:r>
        <w:rPr>
          <w:rFonts w:hint="eastAsia" w:ascii="黑体" w:hAnsi="黑体" w:eastAsia="黑体"/>
        </w:rPr>
        <w:t>供应链合作关系 supply chain collaboration relationship</w:t>
      </w:r>
    </w:p>
    <w:bookmarkEnd w:id="54"/>
    <w:p w14:paraId="29C49EE9">
      <w:pPr>
        <w:pStyle w:val="4"/>
        <w:ind w:firstLine="420"/>
      </w:pPr>
      <w:r>
        <w:rPr>
          <w:rFonts w:hint="eastAsia"/>
        </w:rPr>
        <w:t>供应链成员通过合作、共享信息并共同努力规划和推动实施其商业实践以提升联合绩效的长期关系。</w:t>
      </w:r>
    </w:p>
    <w:p w14:paraId="5C684B35">
      <w:pPr>
        <w:pStyle w:val="183"/>
      </w:pPr>
      <w:r>
        <w:rPr>
          <w:rFonts w:hint="eastAsia"/>
        </w:rPr>
        <w:t>供应链合作关系强调直接的、长期的合作，强调共同努力实现共有的计划和解决共同问题，强调相互之间的信任与合作。</w:t>
      </w:r>
    </w:p>
    <w:p w14:paraId="21473063">
      <w:pPr>
        <w:pStyle w:val="227"/>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基于产业链的供应链合作 </w:t>
      </w:r>
      <w:r>
        <w:rPr>
          <w:rFonts w:ascii="黑体" w:hAnsi="黑体" w:eastAsia="黑体"/>
        </w:rPr>
        <w:t>supply chain collaboration based on the industrial chain</w:t>
      </w:r>
    </w:p>
    <w:p w14:paraId="22B49DF2">
      <w:pPr>
        <w:pStyle w:val="4"/>
        <w:ind w:firstLine="420"/>
      </w:pPr>
      <w:r>
        <w:rPr>
          <w:rFonts w:hint="eastAsia"/>
        </w:rPr>
        <w:t>在产业链视角下，供应链上中下游企业围绕产品与价值全过程，通过资源共享、协同规划、共同决策、联合创新、分享收益，形成具有横向协同与纵向整合特征的系统化合作机制。</w:t>
      </w:r>
    </w:p>
    <w:p w14:paraId="58042365">
      <w:pPr>
        <w:pStyle w:val="183"/>
      </w:pPr>
      <w:r>
        <w:rPr>
          <w:rFonts w:hint="eastAsia"/>
        </w:rPr>
        <w:t>基于产业链的供应链合作目标是提升产业整体价值、增强韧性与竞争力。</w:t>
      </w:r>
    </w:p>
    <w:p w14:paraId="40A8398E">
      <w:pPr>
        <w:pStyle w:val="2"/>
      </w:pPr>
      <w:bookmarkStart w:id="55" w:name="_Toc203036631"/>
      <w:r>
        <w:rPr>
          <w:rFonts w:hint="eastAsia"/>
        </w:rPr>
        <w:t>基于产业链的供应链的构成与角色</w:t>
      </w:r>
      <w:bookmarkEnd w:id="55"/>
    </w:p>
    <w:p w14:paraId="3443ECAA">
      <w:pPr>
        <w:pStyle w:val="109"/>
        <w:spacing w:before="120" w:after="120"/>
        <w:ind w:left="0"/>
      </w:pPr>
      <w:r>
        <w:rPr>
          <w:rFonts w:hint="eastAsia"/>
        </w:rPr>
        <w:t>供应链链主企业</w:t>
      </w:r>
    </w:p>
    <w:p w14:paraId="3CCC40C5">
      <w:pPr>
        <w:pStyle w:val="6"/>
        <w:spacing w:before="0" w:beforeLines="0" w:after="0" w:afterLines="0"/>
        <w:ind w:left="0"/>
        <w:rPr>
          <w:rFonts w:hint="eastAsia" w:ascii="宋体" w:hAnsi="宋体" w:eastAsia="宋体"/>
        </w:rPr>
      </w:pPr>
      <w:r>
        <w:rPr>
          <w:rFonts w:hint="eastAsia" w:ascii="宋体" w:hAnsi="宋体" w:eastAsia="宋体"/>
        </w:rPr>
        <w:t>供应链链主企业是指在某一条供应链中，处于战略核心地位、对供应链上下游有显著协调、整合或主导能力的企业，又叫做焦点企业。通常是直接面对最终客户、拥有品牌、市场话语权或供应链控制能力的企业，以下简称链主企业。</w:t>
      </w:r>
    </w:p>
    <w:p w14:paraId="287E3C90">
      <w:pPr>
        <w:pStyle w:val="6"/>
        <w:spacing w:before="0" w:beforeLines="0" w:after="0" w:afterLines="0"/>
        <w:ind w:left="0"/>
        <w:rPr>
          <w:rFonts w:hint="eastAsia" w:ascii="宋体" w:hAnsi="宋体" w:eastAsia="宋体"/>
        </w:rPr>
      </w:pPr>
      <w:r>
        <w:rPr>
          <w:rFonts w:hint="eastAsia" w:ascii="宋体" w:hAnsi="宋体" w:eastAsia="宋体"/>
        </w:rPr>
        <w:t>链主企业更容易整合供应链各节点的信息流与价值链，进而形成紧密的生态合作模式，推动供应链各环节协同发展。</w:t>
      </w:r>
      <w:r>
        <w:rPr>
          <w:rFonts w:ascii="宋体" w:hAnsi="宋体" w:eastAsia="宋体"/>
        </w:rPr>
        <w:t>链主企业与</w:t>
      </w:r>
      <w:r>
        <w:rPr>
          <w:rFonts w:hint="eastAsia" w:ascii="宋体" w:hAnsi="宋体" w:eastAsia="宋体"/>
        </w:rPr>
        <w:t>供应链</w:t>
      </w:r>
      <w:r>
        <w:rPr>
          <w:rFonts w:ascii="宋体" w:hAnsi="宋体" w:eastAsia="宋体"/>
        </w:rPr>
        <w:t>上、中、下游企业的合作模式</w:t>
      </w:r>
      <w:r>
        <w:rPr>
          <w:rFonts w:hint="eastAsia" w:ascii="宋体" w:hAnsi="宋体" w:eastAsia="宋体"/>
        </w:rPr>
        <w:t>业</w:t>
      </w:r>
      <w:r>
        <w:rPr>
          <w:rFonts w:ascii="宋体" w:hAnsi="宋体" w:eastAsia="宋体"/>
        </w:rPr>
        <w:t>更加系统化和高效化</w:t>
      </w:r>
      <w:r>
        <w:rPr>
          <w:rFonts w:hint="eastAsia" w:ascii="宋体" w:hAnsi="宋体" w:eastAsia="宋体"/>
        </w:rPr>
        <w:t>。</w:t>
      </w:r>
    </w:p>
    <w:p w14:paraId="1F314174">
      <w:pPr>
        <w:pStyle w:val="6"/>
        <w:spacing w:before="0" w:beforeLines="0" w:after="0" w:afterLines="0"/>
        <w:ind w:left="0"/>
        <w:rPr>
          <w:rFonts w:hint="eastAsia" w:ascii="宋体" w:hAnsi="宋体" w:eastAsia="宋体"/>
        </w:rPr>
      </w:pPr>
      <w:r>
        <w:rPr>
          <w:rFonts w:hint="eastAsia" w:ascii="宋体" w:hAnsi="宋体" w:eastAsia="宋体"/>
        </w:rPr>
        <w:t>链主企业需要以平台化思维，与供应链上下游企业、物流服务商、金融机构、技术提供商形成紧密互联的生态圈。</w:t>
      </w:r>
    </w:p>
    <w:p w14:paraId="1B4D715D">
      <w:pPr>
        <w:pStyle w:val="109"/>
        <w:spacing w:before="120" w:after="120"/>
        <w:ind w:left="0"/>
      </w:pPr>
      <w:r>
        <w:rPr>
          <w:rFonts w:hint="eastAsia"/>
        </w:rPr>
        <w:t>供应链上游企业</w:t>
      </w:r>
    </w:p>
    <w:p w14:paraId="23819746">
      <w:pPr>
        <w:pStyle w:val="4"/>
        <w:ind w:firstLine="420"/>
      </w:pPr>
      <w:r>
        <w:rPr>
          <w:rFonts w:hint="eastAsia"/>
        </w:rPr>
        <w:t>供应链上游企业是指处于供应链前端，向焦点企业或中间企业提供原材料、零部件、基础产品、设计或服务的企业。它们构成了供应链的原材料来源和初级制造基础，以下简称上游企业。</w:t>
      </w:r>
    </w:p>
    <w:p w14:paraId="7EBFEC27">
      <w:pPr>
        <w:pStyle w:val="109"/>
        <w:spacing w:before="120" w:after="120"/>
        <w:ind w:left="0"/>
      </w:pPr>
      <w:r>
        <w:rPr>
          <w:rFonts w:hint="eastAsia"/>
        </w:rPr>
        <w:t>供应链中游企业</w:t>
      </w:r>
    </w:p>
    <w:p w14:paraId="69C061E1">
      <w:pPr>
        <w:pStyle w:val="4"/>
        <w:ind w:firstLine="420"/>
      </w:pPr>
      <w:r>
        <w:rPr>
          <w:rFonts w:hint="eastAsia"/>
        </w:rPr>
        <w:t>供应链中游企业是指处于供应链中间环节，接收上游企业提供的原材料、零部件或基础产品，并对其进行加工、组装、制造或增值服务，然后将加工后的成品或半成品传递给下游企业，例如，渠道商、分销商、零售商等的企业。它们是供应链中价值创造的核心环节，负责将原材料转化为具有更高附加值的产品，并确保这些产品能够高效地流向市场和最终消费者，以下简称中游企业。</w:t>
      </w:r>
    </w:p>
    <w:p w14:paraId="67D256B7">
      <w:pPr>
        <w:pStyle w:val="109"/>
        <w:spacing w:before="120" w:after="120"/>
        <w:ind w:left="0"/>
      </w:pPr>
      <w:r>
        <w:rPr>
          <w:rFonts w:hint="eastAsia"/>
        </w:rPr>
        <w:t>供应链下游企业</w:t>
      </w:r>
    </w:p>
    <w:p w14:paraId="32893709">
      <w:pPr>
        <w:pStyle w:val="4"/>
        <w:ind w:firstLine="420"/>
      </w:pPr>
      <w:r>
        <w:rPr>
          <w:rFonts w:hint="eastAsia"/>
        </w:rPr>
        <w:t>供应链下游企业是指处于供应链末端，将产品从供应链中游企业传递至最终消费者或终端使用者的各类渠道商、分销商、零售商或服务提供商，以下简称下游企业。</w:t>
      </w:r>
    </w:p>
    <w:p w14:paraId="71CFAFBA">
      <w:pPr>
        <w:pStyle w:val="2"/>
      </w:pPr>
      <w:bookmarkStart w:id="56" w:name="_Toc203036632"/>
      <w:r>
        <w:rPr>
          <w:rFonts w:hint="eastAsia"/>
        </w:rPr>
        <w:t>基于产业链的供应链合作原则与框架</w:t>
      </w:r>
      <w:bookmarkEnd w:id="56"/>
    </w:p>
    <w:bookmarkEnd w:id="0"/>
    <w:bookmarkEnd w:id="52"/>
    <w:bookmarkEnd w:id="53"/>
    <w:p w14:paraId="0AC0EE0E">
      <w:pPr>
        <w:pStyle w:val="166"/>
        <w:spacing w:before="240" w:beforeLines="100" w:after="240" w:afterLines="100"/>
        <w:ind w:left="0"/>
        <w:rPr>
          <w:rFonts w:hint="eastAsia" w:ascii="黑体" w:hAnsi="黑体" w:eastAsia="黑体"/>
        </w:rPr>
      </w:pPr>
      <w:r>
        <w:rPr>
          <w:rFonts w:hint="eastAsia" w:ascii="黑体" w:hAnsi="黑体" w:eastAsia="黑体"/>
        </w:rPr>
        <w:t>合作原则</w:t>
      </w:r>
    </w:p>
    <w:p w14:paraId="5A53E6CE">
      <w:pPr>
        <w:pStyle w:val="4"/>
        <w:ind w:firstLine="420"/>
      </w:pPr>
      <w:r>
        <w:rPr>
          <w:rFonts w:hint="eastAsia"/>
        </w:rPr>
        <w:t>供应链成员间的合作，宜与组织的愿景和价值观、内部以及与外部合作伙伴约定的业务目标和预期成果相符，实现共同业务与活动的约定、治理和一体化，创造价值、实现互惠互利，有效整合适当的风险管理、能力、知识管理和退出策略，以及采用和发展合作能力及行为。具体而言，宜遵循GB/T 41838给出的合作原则：</w:t>
      </w:r>
    </w:p>
    <w:p w14:paraId="5720D99E">
      <w:pPr>
        <w:pStyle w:val="136"/>
      </w:pPr>
      <w:bookmarkStart w:id="57" w:name="_Hlk202972881"/>
      <w:r>
        <w:rPr>
          <w:rFonts w:hint="eastAsia"/>
        </w:rPr>
        <w:t>关系管理：以规范化过程来管理和维护合作关系有助于成功。</w:t>
      </w:r>
    </w:p>
    <w:p w14:paraId="34C99B6A">
      <w:pPr>
        <w:pStyle w:val="136"/>
      </w:pPr>
      <w:r>
        <w:rPr>
          <w:rFonts w:hint="eastAsia"/>
        </w:rPr>
        <w:t>愿景和价值观：有合作意向的组织的愿景和价值观,将对合作的有效性产生影响。</w:t>
      </w:r>
    </w:p>
    <w:p w14:paraId="04EBE7D4">
      <w:pPr>
        <w:pStyle w:val="136"/>
      </w:pPr>
      <w:r>
        <w:rPr>
          <w:rFonts w:hint="eastAsia"/>
        </w:rPr>
        <w:t>业务目标：只有当合作的驱动因素足以支撑每个合作伙伴组织的业务目标时,合作关系才有意义。</w:t>
      </w:r>
    </w:p>
    <w:p w14:paraId="7B483C81">
      <w:pPr>
        <w:pStyle w:val="136"/>
      </w:pPr>
      <w:r>
        <w:rPr>
          <w:rFonts w:hint="eastAsia"/>
        </w:rPr>
        <w:t>合作的领导作用：高级领导责任制和运行领导问责制对于建立成功的合作关系至关重要。</w:t>
      </w:r>
    </w:p>
    <w:p w14:paraId="58D78672">
      <w:pPr>
        <w:pStyle w:val="136"/>
      </w:pPr>
      <w:r>
        <w:rPr>
          <w:rFonts w:hint="eastAsia"/>
        </w:rPr>
        <w:t>治理和过程：组织之间的关系,需要支持合作决策的治理结构来确保成功。</w:t>
      </w:r>
    </w:p>
    <w:p w14:paraId="03D0B2CB">
      <w:pPr>
        <w:pStyle w:val="136"/>
      </w:pPr>
      <w:r>
        <w:rPr>
          <w:rFonts w:hint="eastAsia"/>
        </w:rPr>
        <w:t>合作能力和行为：建立和发展合作行为、技能和能力,将显著加强组织之间的关系。</w:t>
      </w:r>
    </w:p>
    <w:p w14:paraId="74366513">
      <w:pPr>
        <w:pStyle w:val="136"/>
      </w:pPr>
      <w:r>
        <w:rPr>
          <w:rFonts w:hint="eastAsia"/>
        </w:rPr>
        <w:t>互信与共同获益承诺：互信与共同获益承诺对充分发挥合作业务关系的潜力,具有至关重要的作用。</w:t>
      </w:r>
    </w:p>
    <w:p w14:paraId="5CC860F7">
      <w:pPr>
        <w:pStyle w:val="136"/>
      </w:pPr>
      <w:r>
        <w:rPr>
          <w:rFonts w:hint="eastAsia"/>
        </w:rPr>
        <w:t>价值创造：价值创造是任何合作的核心,在最初目标之外寻求附加价值,能使合作关系更加可持续。</w:t>
      </w:r>
    </w:p>
    <w:p w14:paraId="5EF34B48">
      <w:pPr>
        <w:pStyle w:val="136"/>
      </w:pPr>
      <w:r>
        <w:rPr>
          <w:rFonts w:hint="eastAsia"/>
        </w:rPr>
        <w:t>信息和知识共享：信息和知识的合理共享及管理,是有效合作的关键要素。</w:t>
      </w:r>
    </w:p>
    <w:p w14:paraId="563A6BAB">
      <w:pPr>
        <w:pStyle w:val="136"/>
      </w:pPr>
      <w:r>
        <w:rPr>
          <w:rFonts w:hint="eastAsia"/>
        </w:rPr>
        <w:t>风险管理：风险管理是合作关系的一个关键方面,因为威胁和机遇将影响个人和组织的行为。</w:t>
      </w:r>
    </w:p>
    <w:p w14:paraId="55EC808D">
      <w:pPr>
        <w:pStyle w:val="136"/>
      </w:pPr>
      <w:r>
        <w:rPr>
          <w:rFonts w:hint="eastAsia"/>
        </w:rPr>
        <w:t>关系测量和优化：测量合作关系的健康状况,对于不断提高组织绩效和能力以创造价值、实现业务目标至关重要。</w:t>
      </w:r>
    </w:p>
    <w:p w14:paraId="238E29FD">
      <w:pPr>
        <w:pStyle w:val="136"/>
      </w:pPr>
      <w:r>
        <w:rPr>
          <w:rFonts w:hint="eastAsia"/>
        </w:rPr>
        <w:t>退出策略：商定的退出策略消除了不确定性,增强了共同参与性。</w:t>
      </w:r>
    </w:p>
    <w:bookmarkEnd w:id="57"/>
    <w:p w14:paraId="72308A7B">
      <w:pPr>
        <w:pStyle w:val="166"/>
        <w:spacing w:before="240" w:beforeLines="100" w:after="240" w:afterLines="100"/>
        <w:ind w:left="0"/>
        <w:rPr>
          <w:rFonts w:hint="eastAsia" w:ascii="黑体" w:hAnsi="黑体" w:eastAsia="黑体"/>
        </w:rPr>
      </w:pPr>
      <w:r>
        <w:rPr>
          <w:rFonts w:hint="eastAsia" w:ascii="黑体" w:hAnsi="黑体" w:eastAsia="黑体"/>
        </w:rPr>
        <w:t>框架</w:t>
      </w:r>
    </w:p>
    <w:p w14:paraId="3AB7B0AB">
      <w:pPr>
        <w:pStyle w:val="6"/>
        <w:spacing w:before="120" w:after="120"/>
        <w:ind w:left="0"/>
      </w:pPr>
      <w:r>
        <w:rPr>
          <w:rFonts w:hint="eastAsia"/>
        </w:rPr>
        <w:t>概述</w:t>
      </w:r>
    </w:p>
    <w:p w14:paraId="26E0BD2E">
      <w:pPr>
        <w:pStyle w:val="4"/>
        <w:ind w:firstLine="420"/>
      </w:pPr>
      <w:r>
        <w:rPr>
          <w:rFonts w:hint="eastAsia"/>
        </w:rPr>
        <w:t>本文件基于GB/T 41838中给出的十二项合作业务关系管理原则，在综合考虑5.2.2-5.3.5的基础上，按照5.2.7的文本结构，给出十二项原则的实施路径。</w:t>
      </w:r>
    </w:p>
    <w:p w14:paraId="41EACB90">
      <w:pPr>
        <w:pStyle w:val="6"/>
        <w:spacing w:before="120" w:after="120"/>
        <w:ind w:left="0"/>
      </w:pPr>
      <w:r>
        <w:rPr>
          <w:rFonts w:hint="eastAsia"/>
        </w:rPr>
        <w:t>合作目标</w:t>
      </w:r>
    </w:p>
    <w:p w14:paraId="15AA0EAF">
      <w:pPr>
        <w:pStyle w:val="4"/>
        <w:ind w:firstLine="420"/>
      </w:pPr>
      <w:r>
        <w:rPr>
          <w:rFonts w:hint="eastAsia"/>
        </w:rPr>
        <w:t>基于产业链的供应链合作目标是信息共享、目标一致性、决策同步、激励一致性、资源共享、协作沟通和联合知识创造。</w:t>
      </w:r>
    </w:p>
    <w:p w14:paraId="4B3D8C51">
      <w:pPr>
        <w:pStyle w:val="6"/>
        <w:spacing w:before="120" w:after="120"/>
        <w:ind w:left="0"/>
      </w:pPr>
      <w:r>
        <w:rPr>
          <w:rFonts w:hint="eastAsia"/>
        </w:rPr>
        <w:t>合作要素</w:t>
      </w:r>
    </w:p>
    <w:p w14:paraId="4AB9F83A">
      <w:pPr>
        <w:pStyle w:val="4"/>
        <w:ind w:firstLine="420"/>
      </w:pPr>
      <w:r>
        <w:rPr>
          <w:rFonts w:hint="eastAsia"/>
        </w:rPr>
        <w:t>基于产业链的供应链合作涵盖以下核心要素：</w:t>
      </w:r>
    </w:p>
    <w:p w14:paraId="25D3E839">
      <w:pPr>
        <w:pStyle w:val="136"/>
      </w:pPr>
      <w:r>
        <w:rPr>
          <w:rFonts w:hint="eastAsia"/>
        </w:rPr>
        <w:t>资源要素：包括资金、技术、设备、原材料、人力资源等在供应链与产业链上的共享与配置。</w:t>
      </w:r>
    </w:p>
    <w:p w14:paraId="58439840">
      <w:pPr>
        <w:pStyle w:val="136"/>
      </w:pPr>
      <w:r>
        <w:rPr>
          <w:rFonts w:hint="eastAsia"/>
        </w:rPr>
        <w:t>信息要素：包括订单、库存、生产计划、市场需求、技术标准、政策信息等的透明共享。</w:t>
      </w:r>
    </w:p>
    <w:p w14:paraId="02CEC25E">
      <w:pPr>
        <w:pStyle w:val="136"/>
      </w:pPr>
      <w:r>
        <w:rPr>
          <w:rFonts w:hint="eastAsia"/>
        </w:rPr>
        <w:t>能力要素：包括研发能力、生产制造能力、物流配送能力、市场服务能力的互补整合。</w:t>
      </w:r>
    </w:p>
    <w:p w14:paraId="72B497E2">
      <w:pPr>
        <w:pStyle w:val="136"/>
      </w:pPr>
      <w:r>
        <w:rPr>
          <w:rFonts w:hint="eastAsia"/>
        </w:rPr>
        <w:t>关系要素：包括信任机制、契约机制、治理结构与合作文化的构建，确保合作长期稳定。</w:t>
      </w:r>
    </w:p>
    <w:p w14:paraId="0A091F73">
      <w:pPr>
        <w:pStyle w:val="6"/>
        <w:spacing w:before="120" w:after="120"/>
        <w:ind w:left="0"/>
      </w:pPr>
      <w:r>
        <w:rPr>
          <w:rFonts w:hint="eastAsia"/>
        </w:rPr>
        <w:t>合作节点</w:t>
      </w:r>
    </w:p>
    <w:p w14:paraId="79BDAE4D">
      <w:pPr>
        <w:pStyle w:val="4"/>
        <w:ind w:firstLine="420"/>
      </w:pPr>
      <w:r>
        <w:rPr>
          <w:rFonts w:hint="eastAsia"/>
        </w:rPr>
        <w:t>基于产业链的供应链合作涵盖源头到终端节点，涉及产业链上的关键节点，包括：</w:t>
      </w:r>
    </w:p>
    <w:p w14:paraId="051A5B59">
      <w:pPr>
        <w:pStyle w:val="136"/>
      </w:pPr>
      <w:r>
        <w:rPr>
          <w:rFonts w:hint="eastAsia"/>
        </w:rPr>
        <w:t>上游节点：原材料供应商、零部件生产商，合作聚焦于稳定供给与成本控制。</w:t>
      </w:r>
    </w:p>
    <w:p w14:paraId="2CB5106D">
      <w:pPr>
        <w:pStyle w:val="136"/>
      </w:pPr>
      <w:r>
        <w:rPr>
          <w:rFonts w:hint="eastAsia"/>
        </w:rPr>
        <w:t>中游节点：核心制造企业、系统集成商，合作聚焦于技术研发、制造协同与质量提升。</w:t>
      </w:r>
    </w:p>
    <w:p w14:paraId="7C83AD35">
      <w:pPr>
        <w:pStyle w:val="136"/>
      </w:pPr>
      <w:r>
        <w:rPr>
          <w:rFonts w:hint="eastAsia"/>
        </w:rPr>
        <w:t>下游节点：分销商、零售商、服务商，合作聚焦于市场需求对接、渠道优化与客户服务。</w:t>
      </w:r>
    </w:p>
    <w:p w14:paraId="08F84254">
      <w:pPr>
        <w:pStyle w:val="136"/>
      </w:pPr>
      <w:r>
        <w:rPr>
          <w:rFonts w:hint="eastAsia"/>
        </w:rPr>
        <w:t>支持节点：科研机构、金融机构、物流与信息平台企业，合作聚焦于科技支撑与金融保障。</w:t>
      </w:r>
    </w:p>
    <w:p w14:paraId="44431464">
      <w:pPr>
        <w:pStyle w:val="6"/>
        <w:spacing w:before="120" w:after="120"/>
        <w:ind w:left="0"/>
      </w:pPr>
      <w:r>
        <w:rPr>
          <w:rFonts w:hint="eastAsia"/>
        </w:rPr>
        <w:t>合作类型</w:t>
      </w:r>
    </w:p>
    <w:p w14:paraId="4FD3AC13">
      <w:pPr>
        <w:pStyle w:val="4"/>
        <w:ind w:firstLine="420"/>
      </w:pPr>
      <w:r>
        <w:rPr>
          <w:rFonts w:hint="eastAsia"/>
        </w:rPr>
        <w:t>基于产业链的供应链合作主要可分为以下类型：</w:t>
      </w:r>
    </w:p>
    <w:p w14:paraId="0B012600">
      <w:pPr>
        <w:pStyle w:val="136"/>
      </w:pPr>
      <w:r>
        <w:rPr>
          <w:rFonts w:hint="eastAsia"/>
        </w:rPr>
        <w:t>纵向合作：供应链上下游企业间以提升产业链整体竞争力为目标的合作，例如，协同研发、协同生产、联合采购。</w:t>
      </w:r>
    </w:p>
    <w:p w14:paraId="2A84BD00">
      <w:pPr>
        <w:pStyle w:val="136"/>
      </w:pPr>
      <w:r>
        <w:rPr>
          <w:rFonts w:hint="eastAsia"/>
        </w:rPr>
        <w:t>横向合作：供应链中同一环节企业之间以资源共享、市场拓展为目标的合作，例如，联盟采购、产能共享、联合标准制定。</w:t>
      </w:r>
    </w:p>
    <w:p w14:paraId="61A6E811">
      <w:pPr>
        <w:pStyle w:val="136"/>
      </w:pPr>
      <w:r>
        <w:rPr>
          <w:rFonts w:hint="eastAsia"/>
        </w:rPr>
        <w:t>内部合作：供应链中同一企业内部不同部门之间的合作，通过</w:t>
      </w:r>
      <w:r>
        <w:t>企业内部跨部门协同，打破信息孤岛，实现</w:t>
      </w:r>
      <w:r>
        <w:rPr>
          <w:rFonts w:hint="eastAsia"/>
        </w:rPr>
        <w:t>关键供应链环节</w:t>
      </w:r>
      <w:r>
        <w:t>协同一致</w:t>
      </w:r>
      <w:r>
        <w:rPr>
          <w:rFonts w:hint="eastAsia"/>
        </w:rPr>
        <w:t>。例如，在生产环节中，生产部门与采购部门之间的合作，共同控制原材料采购和生产排程。</w:t>
      </w:r>
    </w:p>
    <w:p w14:paraId="3A8ACCB8">
      <w:pPr>
        <w:pStyle w:val="136"/>
      </w:pPr>
      <w:r>
        <w:rPr>
          <w:rFonts w:hint="eastAsia"/>
        </w:rPr>
        <w:t>外部合作：与金融、科技、物流、信息服务等第三方机构的合作，推动产业链数字化、智能化与生态化。</w:t>
      </w:r>
    </w:p>
    <w:p w14:paraId="22708EF0">
      <w:pPr>
        <w:pStyle w:val="6"/>
        <w:spacing w:before="120" w:after="120"/>
        <w:ind w:left="0"/>
      </w:pPr>
      <w:r>
        <w:rPr>
          <w:rFonts w:hint="eastAsia"/>
        </w:rPr>
        <w:t>合作重点领域</w:t>
      </w:r>
    </w:p>
    <w:p w14:paraId="023D521A">
      <w:pPr>
        <w:pStyle w:val="4"/>
        <w:ind w:firstLine="420"/>
      </w:pPr>
      <w:r>
        <w:rPr>
          <w:rFonts w:hint="eastAsia"/>
        </w:rPr>
        <w:t>结合我国产业链现代化发展需求，基于产业链的供应链合作重点领域主要包括：</w:t>
      </w:r>
    </w:p>
    <w:p w14:paraId="4649332E">
      <w:pPr>
        <w:pStyle w:val="136"/>
      </w:pPr>
      <w:r>
        <w:rPr>
          <w:rFonts w:hint="eastAsia"/>
        </w:rPr>
        <w:t>技术研发协同：围绕核心技术、关键零部件和卡脖子技术，推动上下游企业联合攻关与技术突破，提升产业链自主可控能力与技术竞争力。</w:t>
      </w:r>
    </w:p>
    <w:p w14:paraId="26C48258">
      <w:pPr>
        <w:pStyle w:val="136"/>
      </w:pPr>
      <w:r>
        <w:rPr>
          <w:rFonts w:hint="eastAsia"/>
        </w:rPr>
        <w:t>生产制造协同：通过柔性制造、产能共享与制造流程优化，实现上下游生产效率与响应速度的提升，满足多样化与快速变化的市场需求。</w:t>
      </w:r>
    </w:p>
    <w:p w14:paraId="51808D4A">
      <w:pPr>
        <w:pStyle w:val="136"/>
      </w:pPr>
      <w:r>
        <w:rPr>
          <w:rFonts w:hint="eastAsia"/>
        </w:rPr>
        <w:t>物流配送协同：整合物流资源，优化运输路径与配送模式，降低物流成本，提高供应链全流程的快速响应能力与配送服务水平。</w:t>
      </w:r>
    </w:p>
    <w:p w14:paraId="190115B4">
      <w:pPr>
        <w:pStyle w:val="136"/>
      </w:pPr>
      <w:r>
        <w:rPr>
          <w:rFonts w:hint="eastAsia"/>
        </w:rPr>
        <w:t>市场服务与客户体验协同：通过数据共享与需求对接，结合客户关系管理（CRM）与需求管理，实现定制化生产、精准营销和高效服务，直接服务并深刻理解终端消费者（B2C/D2C）的体验，推动企业从生产导向向需求导向转型。</w:t>
      </w:r>
    </w:p>
    <w:p w14:paraId="39FF44B4">
      <w:pPr>
        <w:pStyle w:val="136"/>
      </w:pPr>
      <w:r>
        <w:rPr>
          <w:rFonts w:hint="eastAsia"/>
        </w:rPr>
        <w:t>风险防控协同：构建涵盖需求波动、供应中断、市场变化等多维度的供应链风险监测预警与应急联动体系，提升产业链供应链的韧性与安全。</w:t>
      </w:r>
    </w:p>
    <w:p w14:paraId="202F07B8">
      <w:pPr>
        <w:pStyle w:val="136"/>
      </w:pPr>
      <w:r>
        <w:rPr>
          <w:rFonts w:hint="eastAsia"/>
        </w:rPr>
        <w:t>供应链数字化：推动供应链全流程数字化建设，构建数据互联互通平台，提升信息共享、业务协同与智能决策能力，扩展产业链上下游企业的数字化协作与生态整合能力。</w:t>
      </w:r>
    </w:p>
    <w:p w14:paraId="3E5E72C9">
      <w:pPr>
        <w:pStyle w:val="136"/>
      </w:pPr>
      <w:r>
        <w:rPr>
          <w:rFonts w:hint="eastAsia"/>
        </w:rPr>
        <w:t>可持续供应链（ESG）：</w:t>
      </w:r>
      <w:r>
        <w:t>推动绿色</w:t>
      </w:r>
      <w:r>
        <w:rPr>
          <w:rFonts w:hint="eastAsia"/>
        </w:rPr>
        <w:t>采购</w:t>
      </w:r>
      <w:r>
        <w:t>、低碳制造、</w:t>
      </w:r>
      <w:r>
        <w:rPr>
          <w:rFonts w:hint="eastAsia"/>
        </w:rPr>
        <w:t>绿色物流、</w:t>
      </w:r>
      <w:r>
        <w:t>循环经济</w:t>
      </w:r>
      <w:r>
        <w:rPr>
          <w:rFonts w:hint="eastAsia"/>
        </w:rPr>
        <w:t>等</w:t>
      </w:r>
      <w:r>
        <w:t>发展，强化供应链在环境、社会与治理（ESG）领域的责任与价值创造。</w:t>
      </w:r>
      <w:r>
        <w:rPr>
          <w:rFonts w:hint="eastAsia"/>
        </w:rPr>
        <w:t>在合作过程中，针对商业秘密泄露、非法转让、知识产权权属及利益分配等潜在冲突，建立完善的法律保护机制与公平分配制度，保障各方合作安全与持续。</w:t>
      </w:r>
    </w:p>
    <w:p w14:paraId="500266BE">
      <w:pPr>
        <w:pStyle w:val="6"/>
        <w:spacing w:before="120" w:after="120"/>
        <w:ind w:left="0"/>
      </w:pPr>
      <w:r>
        <w:rPr>
          <w:rFonts w:hint="eastAsia"/>
        </w:rPr>
        <w:t>文本结构</w:t>
      </w:r>
    </w:p>
    <w:p w14:paraId="209812B2">
      <w:pPr>
        <w:pStyle w:val="4"/>
        <w:ind w:firstLine="420"/>
      </w:pPr>
      <w:r>
        <w:t>本文件</w:t>
      </w:r>
      <w:bookmarkStart w:id="58" w:name="_Hlk203039738"/>
      <w:r>
        <w:t>基于</w:t>
      </w:r>
      <w:r>
        <w:rPr>
          <w:rFonts w:hint="eastAsia"/>
        </w:rPr>
        <w:t>GB/T 41838</w:t>
      </w:r>
      <w:r>
        <w:t>中给出的十二项</w:t>
      </w:r>
      <w:r>
        <w:rPr>
          <w:rFonts w:hint="eastAsia"/>
        </w:rPr>
        <w:t>合作</w:t>
      </w:r>
      <w:r>
        <w:t>业务关系管理原则</w:t>
      </w:r>
      <w:bookmarkEnd w:id="58"/>
      <w:r>
        <w:rPr>
          <w:rFonts w:hint="eastAsia"/>
        </w:rPr>
        <w:t>，在产业链视角下，给出供应链成员如何实施这些原则。</w:t>
      </w:r>
      <w:r>
        <w:t>对于每个原则,有</w:t>
      </w:r>
      <w:r>
        <w:rPr>
          <w:rFonts w:hint="eastAsia"/>
        </w:rPr>
        <w:t>两</w:t>
      </w:r>
      <w:r>
        <w:t>个主要子条款</w:t>
      </w:r>
      <w:r>
        <w:rPr>
          <w:rFonts w:hint="eastAsia"/>
        </w:rPr>
        <w:t>：</w:t>
      </w:r>
    </w:p>
    <w:p w14:paraId="2304A009">
      <w:pPr>
        <w:pStyle w:val="136"/>
      </w:pPr>
      <w:r>
        <w:rPr>
          <w:rFonts w:hint="eastAsia"/>
        </w:rPr>
        <w:t>概述：进一步描述该原则内容，</w:t>
      </w:r>
      <w:r>
        <w:t>解释与</w:t>
      </w:r>
      <w:r>
        <w:rPr>
          <w:rFonts w:hint="eastAsia"/>
        </w:rPr>
        <w:t>供应链成员</w:t>
      </w:r>
      <w:r>
        <w:t>的相关性</w:t>
      </w:r>
      <w:r>
        <w:rPr>
          <w:rFonts w:hint="eastAsia"/>
        </w:rPr>
        <w:t>；</w:t>
      </w:r>
    </w:p>
    <w:p w14:paraId="60690677">
      <w:pPr>
        <w:pStyle w:val="136"/>
        <w:widowControl w:val="0"/>
      </w:pPr>
      <w:r>
        <w:rPr>
          <w:rFonts w:hint="eastAsia"/>
        </w:rPr>
        <w:t>实施路径：给出具体</w:t>
      </w:r>
      <w:r>
        <w:t>实施</w:t>
      </w:r>
      <w:r>
        <w:rPr>
          <w:rFonts w:hint="eastAsia"/>
        </w:rPr>
        <w:t>流程和关键内容。</w:t>
      </w:r>
    </w:p>
    <w:p w14:paraId="26B02EE4">
      <w:pPr>
        <w:pStyle w:val="3"/>
        <w:widowControl w:val="0"/>
        <w:spacing w:before="240" w:after="240"/>
        <w:ind w:left="0"/>
      </w:pPr>
      <w:bookmarkStart w:id="59" w:name="_Toc203036633"/>
      <w:r>
        <w:rPr>
          <w:rFonts w:hint="eastAsia"/>
        </w:rPr>
        <w:t>关系管理</w:t>
      </w:r>
      <w:bookmarkEnd w:id="59"/>
    </w:p>
    <w:p w14:paraId="7CF0C59D">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18905EF1">
      <w:pPr>
        <w:pStyle w:val="6"/>
        <w:spacing w:before="0" w:beforeLines="0" w:after="0" w:afterLines="0"/>
        <w:ind w:left="0"/>
        <w:rPr>
          <w:rFonts w:hint="eastAsia" w:ascii="宋体" w:hAnsi="宋体" w:eastAsia="宋体"/>
        </w:rPr>
      </w:pPr>
      <w:r>
        <w:rPr>
          <w:rFonts w:hint="eastAsia" w:ascii="宋体" w:hAnsi="宋体" w:eastAsia="宋体"/>
        </w:rPr>
        <w:t>关系管理是指以正式的、流程化的机制，对跨企业合作关系进行全周期管理的活动，包括但不限于建立协调机制、指定责任人、制定沟通与纠纷解决流程、记录合作活动并持续优化。</w:t>
      </w:r>
    </w:p>
    <w:p w14:paraId="683DD6BC">
      <w:pPr>
        <w:pStyle w:val="6"/>
        <w:spacing w:before="0" w:beforeLines="0" w:after="0" w:afterLines="0"/>
        <w:ind w:left="0"/>
        <w:rPr>
          <w:rFonts w:hint="eastAsia" w:ascii="宋体" w:hAnsi="宋体" w:eastAsia="宋体"/>
        </w:rPr>
      </w:pPr>
      <w:r>
        <w:rPr>
          <w:rFonts w:hint="eastAsia" w:ascii="宋体" w:hAnsi="宋体" w:eastAsia="宋体"/>
        </w:rPr>
        <w:t>对于所有合作方来说，关系管理是维系信任、推动协调、保持一致性的关键工具。通过关系管理：</w:t>
      </w:r>
    </w:p>
    <w:p w14:paraId="0FBD6F59">
      <w:pPr>
        <w:pStyle w:val="136"/>
      </w:pPr>
      <w:r>
        <w:rPr>
          <w:rFonts w:hint="eastAsia"/>
        </w:rPr>
        <w:t>链主企业避免因人员流动、组织变化或事件冲击影响整个供应链稳定；</w:t>
      </w:r>
    </w:p>
    <w:p w14:paraId="71656FE0">
      <w:pPr>
        <w:pStyle w:val="136"/>
      </w:pPr>
      <w:r>
        <w:rPr>
          <w:rFonts w:hint="eastAsia"/>
        </w:rPr>
        <w:t>上游企业保障对焦点企业要求的持续响应性与适应性；</w:t>
      </w:r>
    </w:p>
    <w:p w14:paraId="5B81D1F5">
      <w:pPr>
        <w:pStyle w:val="136"/>
      </w:pPr>
      <w:r>
        <w:rPr>
          <w:rFonts w:hint="eastAsia"/>
        </w:rPr>
        <w:t>中游企业确保生产加工环节的稳定性和高效性，及时响应上下游需求变化，保障产品质量和交付进度；</w:t>
      </w:r>
    </w:p>
    <w:p w14:paraId="1E13F38B">
      <w:pPr>
        <w:pStyle w:val="136"/>
      </w:pPr>
      <w:r>
        <w:rPr>
          <w:rFonts w:hint="eastAsia"/>
        </w:rPr>
        <w:t>下游企业可获得持续、可预测的资源支持与市场反应。</w:t>
      </w:r>
    </w:p>
    <w:p w14:paraId="6EC88254">
      <w:pPr>
        <w:pStyle w:val="6"/>
        <w:spacing w:before="0" w:beforeLines="0" w:after="0" w:afterLines="0"/>
        <w:ind w:left="0"/>
        <w:rPr>
          <w:rFonts w:hint="eastAsia" w:ascii="宋体" w:hAnsi="宋体" w:eastAsia="宋体"/>
        </w:rPr>
      </w:pPr>
      <w:r>
        <w:rPr>
          <w:rFonts w:hint="eastAsia" w:ascii="宋体" w:hAnsi="宋体" w:eastAsia="宋体"/>
        </w:rPr>
        <w:t>为了在供应链合作中高效落实关系管理原则，企业宜按6.2建立结构化的合作管理机制。</w:t>
      </w:r>
    </w:p>
    <w:p w14:paraId="55ABD329">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5872FA2A">
      <w:pPr>
        <w:pStyle w:val="6"/>
        <w:spacing w:before="120" w:after="120"/>
        <w:ind w:left="0"/>
      </w:pPr>
      <w:r>
        <w:rPr>
          <w:rFonts w:hint="eastAsia"/>
        </w:rPr>
        <w:t>制定关系管理制度文件</w:t>
      </w:r>
    </w:p>
    <w:p w14:paraId="4DF405B5">
      <w:pPr>
        <w:pStyle w:val="4"/>
        <w:ind w:firstLine="420"/>
      </w:pPr>
      <w:r>
        <w:rPr>
          <w:rFonts w:hint="eastAsia"/>
        </w:rPr>
        <w:t>供应链合作方宜制定关系管理制度文件，例如，《供应链合作关系管理办法》或《合作伙伴关系政策指引》：</w:t>
      </w:r>
    </w:p>
    <w:p w14:paraId="258BE0EC">
      <w:pPr>
        <w:pStyle w:val="136"/>
      </w:pPr>
      <w:r>
        <w:rPr>
          <w:rFonts w:hint="eastAsia"/>
        </w:rPr>
        <w:t>明确关系管理的适用场景，例如长期合作项目、联合研发、委托生产等；</w:t>
      </w:r>
    </w:p>
    <w:p w14:paraId="028819A4">
      <w:pPr>
        <w:pStyle w:val="136"/>
      </w:pPr>
      <w:r>
        <w:rPr>
          <w:rFonts w:hint="eastAsia"/>
        </w:rPr>
        <w:t>明确管理目标、适用合作类型、适用角色（例如，链主企业、上游企业、中游企业、下游企业）及授权层级。</w:t>
      </w:r>
    </w:p>
    <w:p w14:paraId="3A4C4CFF">
      <w:pPr>
        <w:pStyle w:val="6"/>
        <w:spacing w:before="120" w:after="120"/>
        <w:ind w:left="0"/>
      </w:pPr>
      <w:r>
        <w:rPr>
          <w:rFonts w:hint="eastAsia"/>
        </w:rPr>
        <w:t>设立专职协调岗位或团队</w:t>
      </w:r>
    </w:p>
    <w:p w14:paraId="1B2303E3">
      <w:pPr>
        <w:pStyle w:val="168"/>
      </w:pPr>
      <w:r>
        <w:rPr>
          <w:rFonts w:hint="eastAsia"/>
        </w:rPr>
        <w:t>链主企业宜设立“合作关系经理”或“战略伙伴管理团队”，负责日常关系维护。</w:t>
      </w:r>
    </w:p>
    <w:p w14:paraId="4627604E">
      <w:pPr>
        <w:pStyle w:val="168"/>
        <w:rPr>
          <w:rFonts w:hint="eastAsia" w:hAnsi="宋体" w:cs="宋体"/>
        </w:rPr>
      </w:pPr>
      <w:r>
        <w:rPr>
          <w:rFonts w:hint="eastAsia" w:hAnsi="宋体" w:cs="宋体"/>
        </w:rPr>
        <w:t>宜在关键上游、中游、下游企业中，指定专人作为合作关系联系人，建立一对一责任对接机制。</w:t>
      </w:r>
    </w:p>
    <w:p w14:paraId="63442D36">
      <w:pPr>
        <w:pStyle w:val="168"/>
        <w:rPr>
          <w:rFonts w:hint="eastAsia" w:hAnsi="宋体" w:cs="宋体"/>
        </w:rPr>
      </w:pPr>
      <w:r>
        <w:rPr>
          <w:rFonts w:hint="eastAsia" w:hAnsi="宋体" w:cs="宋体"/>
        </w:rPr>
        <w:t>宜明确关系管理岗位职责，例如，定期沟通、问题协调、绩效追踪、合作评估等。</w:t>
      </w:r>
    </w:p>
    <w:p w14:paraId="3ABAD78E">
      <w:pPr>
        <w:pStyle w:val="6"/>
        <w:spacing w:before="120" w:after="120"/>
        <w:ind w:left="0"/>
      </w:pPr>
      <w:r>
        <w:rPr>
          <w:rFonts w:hint="eastAsia"/>
        </w:rPr>
        <w:t>建立常态化沟通与协调机制</w:t>
      </w:r>
    </w:p>
    <w:p w14:paraId="471623F4">
      <w:pPr>
        <w:pStyle w:val="4"/>
        <w:ind w:firstLine="420"/>
      </w:pPr>
      <w:r>
        <w:rPr>
          <w:rFonts w:hint="eastAsia"/>
        </w:rPr>
        <w:t>宜通过周期性会议、专项沟通机制、信息共享平台等形式建立常态化沟通与协调机制：</w:t>
      </w:r>
    </w:p>
    <w:p w14:paraId="2CEC3648">
      <w:pPr>
        <w:pStyle w:val="136"/>
      </w:pPr>
      <w:r>
        <w:rPr>
          <w:rFonts w:hint="eastAsia"/>
        </w:rPr>
        <w:t>定期合作例会，宜聚焦进展通报、风险预警、流程优化等；</w:t>
      </w:r>
    </w:p>
    <w:p w14:paraId="7343C4BC">
      <w:pPr>
        <w:pStyle w:val="136"/>
      </w:pPr>
      <w:r>
        <w:rPr>
          <w:rFonts w:hint="eastAsia"/>
        </w:rPr>
        <w:t>专项沟通机制，例如，在产品开发期设置“联席开发会”、在生产运营期设立“快速响应机制”；</w:t>
      </w:r>
    </w:p>
    <w:p w14:paraId="5B7479EF">
      <w:pPr>
        <w:pStyle w:val="136"/>
      </w:pPr>
      <w:r>
        <w:t>链主企业牵头建立信息共享平台，整合产业链上下游企业的信息资源</w:t>
      </w:r>
      <w:r>
        <w:rPr>
          <w:rFonts w:hint="eastAsia"/>
        </w:rPr>
        <w:t>，实现可视化进度管理和任务分配。</w:t>
      </w:r>
      <w:r>
        <w:t>例如，通过建立供应链管理信息系统，实现原材料采购、生产进度、库存水平、销售数据等信息的实时共享。</w:t>
      </w:r>
    </w:p>
    <w:p w14:paraId="361F624D">
      <w:pPr>
        <w:pStyle w:val="6"/>
        <w:spacing w:before="120" w:after="120"/>
        <w:ind w:left="0"/>
      </w:pPr>
      <w:r>
        <w:rPr>
          <w:rFonts w:hint="eastAsia"/>
        </w:rPr>
        <w:t>制定合作周期的关系管理要点</w:t>
      </w:r>
    </w:p>
    <w:p w14:paraId="17123906">
      <w:pPr>
        <w:pStyle w:val="168"/>
      </w:pPr>
      <w:r>
        <w:rPr>
          <w:rFonts w:hint="eastAsia"/>
        </w:rPr>
        <w:t>宜在合作启动阶段，建立联合目标与合作条款确认机制，开展关系质量初始评估。</w:t>
      </w:r>
    </w:p>
    <w:p w14:paraId="0F38B4F7">
      <w:pPr>
        <w:pStyle w:val="168"/>
      </w:pPr>
      <w:r>
        <w:rPr>
          <w:rFonts w:hint="eastAsia"/>
        </w:rPr>
        <w:t>宜在合作执行阶段，定期开展合作满意度调查，跟踪并优化合作关系。</w:t>
      </w:r>
    </w:p>
    <w:p w14:paraId="7650344F">
      <w:pPr>
        <w:pStyle w:val="168"/>
      </w:pPr>
      <w:r>
        <w:rPr>
          <w:rFonts w:hint="eastAsia"/>
        </w:rPr>
        <w:t>宜在合作调整阶段，定期更新合作目标与角色匹配性，重新校准目标和资源。</w:t>
      </w:r>
    </w:p>
    <w:p w14:paraId="17467D16">
      <w:pPr>
        <w:pStyle w:val="168"/>
      </w:pPr>
      <w:r>
        <w:rPr>
          <w:rFonts w:hint="eastAsia"/>
        </w:rPr>
        <w:t>宜在合作退出阶段，启动合作终止计划，包括任务收尾、知识交接、风险清算，组织合作总结评估会，形成退出报告与案例归档。</w:t>
      </w:r>
    </w:p>
    <w:p w14:paraId="67B0C3FE">
      <w:pPr>
        <w:pStyle w:val="6"/>
        <w:spacing w:before="120" w:after="120"/>
        <w:ind w:left="0"/>
      </w:pPr>
      <w:r>
        <w:rPr>
          <w:rFonts w:hint="eastAsia"/>
        </w:rPr>
        <w:t>构建合作档案和数据记录机制</w:t>
      </w:r>
    </w:p>
    <w:p w14:paraId="035BC370">
      <w:pPr>
        <w:pStyle w:val="168"/>
      </w:pPr>
      <w:r>
        <w:rPr>
          <w:rFonts w:hint="eastAsia"/>
        </w:rPr>
        <w:t>宜建立电子合作档案系统，记录关键协议、会议纪要、变更历史、争议解决记录。</w:t>
      </w:r>
    </w:p>
    <w:p w14:paraId="72656332">
      <w:pPr>
        <w:pStyle w:val="168"/>
      </w:pPr>
      <w:r>
        <w:rPr>
          <w:rFonts w:hint="eastAsia"/>
        </w:rPr>
        <w:t>宜将合作关系绩效数据，例如，响应时效、问题处理周期、服务满意度等，纳入绩效评价体系。</w:t>
      </w:r>
    </w:p>
    <w:p w14:paraId="02FB5F75">
      <w:pPr>
        <w:pStyle w:val="168"/>
      </w:pPr>
      <w:r>
        <w:rPr>
          <w:rFonts w:hint="eastAsia"/>
        </w:rPr>
        <w:t>宜建立合作全周期文档留存规则，保障信息可追溯、责任可界定。</w:t>
      </w:r>
    </w:p>
    <w:p w14:paraId="0089B6D1">
      <w:pPr>
        <w:pStyle w:val="6"/>
        <w:spacing w:before="120" w:after="120"/>
        <w:ind w:left="0"/>
      </w:pPr>
      <w:r>
        <w:rPr>
          <w:rFonts w:hint="eastAsia"/>
        </w:rPr>
        <w:t>引入关系健康度评价工具</w:t>
      </w:r>
    </w:p>
    <w:p w14:paraId="3E3722F4">
      <w:pPr>
        <w:pStyle w:val="168"/>
      </w:pPr>
      <w:r>
        <w:rPr>
          <w:rFonts w:hint="eastAsia"/>
        </w:rPr>
        <w:t>宜设计“合作关系健康度雷达图”，包括但不限于信任度、协作度、沟通质量、目标一致性等指标。</w:t>
      </w:r>
    </w:p>
    <w:p w14:paraId="6444CFDC">
      <w:pPr>
        <w:pStyle w:val="168"/>
      </w:pPr>
      <w:r>
        <w:rPr>
          <w:rFonts w:hint="eastAsia"/>
        </w:rPr>
        <w:t>宜定期组织合作评价并召开反馈讨论会，形成改进闭环；</w:t>
      </w:r>
    </w:p>
    <w:p w14:paraId="71821548">
      <w:pPr>
        <w:pStyle w:val="168"/>
      </w:pPr>
      <w:r>
        <w:rPr>
          <w:rFonts w:hint="eastAsia"/>
        </w:rPr>
        <w:t>鼓励上中下游企业基于健康度反馈提出协同改进方案或进行关系重塑。</w:t>
      </w:r>
    </w:p>
    <w:p w14:paraId="7D9EBACA">
      <w:pPr>
        <w:pStyle w:val="3"/>
        <w:spacing w:before="240" w:after="240"/>
        <w:ind w:left="0"/>
      </w:pPr>
      <w:bookmarkStart w:id="60" w:name="_Toc203036634"/>
      <w:r>
        <w:rPr>
          <w:rFonts w:hint="eastAsia"/>
        </w:rPr>
        <w:t>愿景和价值观</w:t>
      </w:r>
      <w:bookmarkEnd w:id="60"/>
    </w:p>
    <w:p w14:paraId="1701D649">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43087121">
      <w:pPr>
        <w:pStyle w:val="6"/>
        <w:spacing w:before="0" w:beforeLines="0" w:after="0" w:afterLines="0"/>
        <w:ind w:left="0"/>
        <w:rPr>
          <w:rFonts w:hint="eastAsia" w:ascii="宋体" w:hAnsi="宋体" w:eastAsia="宋体"/>
        </w:rPr>
      </w:pPr>
      <w:r>
        <w:rPr>
          <w:rFonts w:hint="eastAsia" w:ascii="宋体" w:hAnsi="宋体" w:eastAsia="宋体"/>
        </w:rPr>
        <w:t>愿景和价值观原则强调合作各方在建立合作关系前，宜对彼此的战略愿景、核心价值观，例合，规、诚信、可持续发展等，进行了解与比对，确保存在相容性或可以协调。</w:t>
      </w:r>
    </w:p>
    <w:p w14:paraId="0B746EFD">
      <w:pPr>
        <w:pStyle w:val="6"/>
        <w:spacing w:before="0" w:beforeLines="0" w:after="0" w:afterLines="0"/>
        <w:ind w:left="0"/>
        <w:rPr>
          <w:rFonts w:hint="eastAsia" w:ascii="宋体" w:hAnsi="宋体" w:eastAsia="宋体"/>
        </w:rPr>
      </w:pPr>
      <w:bookmarkStart w:id="61" w:name="OLE_LINK2"/>
      <w:r>
        <w:rPr>
          <w:rFonts w:hint="eastAsia" w:ascii="宋体" w:hAnsi="宋体" w:eastAsia="宋体"/>
        </w:rPr>
        <w:t>对于所有合作方来说，</w:t>
      </w:r>
      <w:bookmarkEnd w:id="61"/>
      <w:r>
        <w:rPr>
          <w:rFonts w:hint="eastAsia" w:ascii="宋体" w:hAnsi="宋体" w:eastAsia="宋体"/>
        </w:rPr>
        <w:t>缺乏共同愿景将引发行为差异、文化冲突和合作风险：</w:t>
      </w:r>
    </w:p>
    <w:p w14:paraId="0CC510A6">
      <w:pPr>
        <w:pStyle w:val="136"/>
      </w:pPr>
      <w:r>
        <w:rPr>
          <w:rFonts w:hint="eastAsia"/>
        </w:rPr>
        <w:t>链主企业承担品牌形象和公众责任，需要与合作方价值观高度匹配；</w:t>
      </w:r>
    </w:p>
    <w:p w14:paraId="62F6D7B0">
      <w:pPr>
        <w:pStyle w:val="136"/>
      </w:pPr>
      <w:r>
        <w:rPr>
          <w:rFonts w:hint="eastAsia"/>
        </w:rPr>
        <w:t>上游企业如不能认同链主企业的环境、安全、质量标准，将产生执行偏差；</w:t>
      </w:r>
    </w:p>
    <w:p w14:paraId="0134B9E1">
      <w:pPr>
        <w:pStyle w:val="136"/>
      </w:pPr>
      <w:r>
        <w:rPr>
          <w:rFonts w:hint="eastAsia"/>
        </w:rPr>
        <w:t>中游企业作为生产加工的核心环节，需确保生产活动符合合作各方的价值观，例如，质量标准、环保要求等；</w:t>
      </w:r>
    </w:p>
    <w:p w14:paraId="5EE4FE6B">
      <w:pPr>
        <w:pStyle w:val="136"/>
      </w:pPr>
      <w:r>
        <w:rPr>
          <w:rFonts w:hint="eastAsia"/>
        </w:rPr>
        <w:t>下游企业直接面向终端消费者，其对企业价值的呈现将影响用户信任。</w:t>
      </w:r>
    </w:p>
    <w:p w14:paraId="32149E53">
      <w:pPr>
        <w:pStyle w:val="6"/>
        <w:spacing w:before="0" w:beforeLines="0" w:after="0" w:afterLines="0"/>
        <w:ind w:left="0"/>
        <w:rPr>
          <w:rFonts w:hint="eastAsia" w:ascii="宋体" w:hAnsi="宋体" w:eastAsia="宋体"/>
        </w:rPr>
      </w:pPr>
      <w:r>
        <w:rPr>
          <w:rFonts w:hint="eastAsia" w:ascii="宋体" w:hAnsi="宋体" w:eastAsia="宋体"/>
        </w:rPr>
        <w:t>为在供应链合作中实现愿景与价值观的共识和对齐，企业宜按7.2开展系统建设与实践应用。</w:t>
      </w:r>
    </w:p>
    <w:p w14:paraId="1C6B30B2">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3590BAE0">
      <w:pPr>
        <w:pStyle w:val="6"/>
        <w:spacing w:before="120" w:after="120"/>
        <w:ind w:left="0"/>
      </w:pPr>
      <w:r>
        <w:rPr>
          <w:rFonts w:hint="eastAsia"/>
        </w:rPr>
        <w:t>共创合作愿景与核心价值观</w:t>
      </w:r>
    </w:p>
    <w:p w14:paraId="0E070A4D">
      <w:pPr>
        <w:pStyle w:val="168"/>
      </w:pPr>
      <w:r>
        <w:rPr>
          <w:rFonts w:hint="eastAsia"/>
        </w:rPr>
        <w:t>在合作启动阶段，邀请各合作方的核心管理人员与关键岗位讨论和确认合作愿景与核心价值观，并引导合作方围绕以下问题共创愿景草案：</w:t>
      </w:r>
    </w:p>
    <w:p w14:paraId="3F22E1EC">
      <w:pPr>
        <w:pStyle w:val="136"/>
      </w:pPr>
      <w:r>
        <w:rPr>
          <w:rFonts w:hint="eastAsia"/>
        </w:rPr>
        <w:t>我们共同要实现什么样的长期影响？</w:t>
      </w:r>
    </w:p>
    <w:p w14:paraId="3841EC2F">
      <w:pPr>
        <w:pStyle w:val="136"/>
      </w:pPr>
      <w:r>
        <w:rPr>
          <w:rFonts w:hint="eastAsia"/>
        </w:rPr>
        <w:t>这段合作对各方意味着什么？我们如何定义“成功”？</w:t>
      </w:r>
    </w:p>
    <w:p w14:paraId="540E8B8F">
      <w:pPr>
        <w:pStyle w:val="136"/>
      </w:pPr>
      <w:r>
        <w:rPr>
          <w:rFonts w:hint="eastAsia"/>
        </w:rPr>
        <w:t>在合作过程中，我们最看重的行为是什么？</w:t>
      </w:r>
    </w:p>
    <w:p w14:paraId="7E4FC3C2">
      <w:pPr>
        <w:pStyle w:val="168"/>
      </w:pPr>
      <w:r>
        <w:rPr>
          <w:rFonts w:hint="eastAsia"/>
        </w:rPr>
        <w:t>将愿景与价值观正式写入《合作框架协议》或《联合声明》中作为行为指导原则。</w:t>
      </w:r>
    </w:p>
    <w:p w14:paraId="5515E662">
      <w:pPr>
        <w:pStyle w:val="6"/>
        <w:spacing w:before="120" w:after="120"/>
        <w:ind w:left="0"/>
      </w:pPr>
      <w:r>
        <w:rPr>
          <w:rFonts w:hint="eastAsia"/>
        </w:rPr>
        <w:t>制定价值观对齐与评估标准</w:t>
      </w:r>
    </w:p>
    <w:p w14:paraId="44340FA6">
      <w:pPr>
        <w:pStyle w:val="168"/>
      </w:pPr>
      <w:r>
        <w:rPr>
          <w:rFonts w:hint="eastAsia"/>
        </w:rPr>
        <w:t>宜将合作愿景与价值观转化为可识别、可评价的行为指标，例如：</w:t>
      </w:r>
    </w:p>
    <w:p w14:paraId="1C49292D">
      <w:pPr>
        <w:pStyle w:val="136"/>
      </w:pPr>
      <w:r>
        <w:rPr>
          <w:rFonts w:hint="eastAsia"/>
        </w:rPr>
        <w:t>“诚信透明”对应是否及时通报问题、是否如实反馈？</w:t>
      </w:r>
    </w:p>
    <w:p w14:paraId="3DBD5CF8">
      <w:pPr>
        <w:pStyle w:val="136"/>
      </w:pPr>
      <w:r>
        <w:rPr>
          <w:rFonts w:hint="eastAsia"/>
        </w:rPr>
        <w:t>“可持续发展”对应是否关注环境影响、是否使用绿色材料？</w:t>
      </w:r>
    </w:p>
    <w:p w14:paraId="24A463B9">
      <w:pPr>
        <w:pStyle w:val="168"/>
      </w:pPr>
      <w:r>
        <w:rPr>
          <w:rFonts w:hint="eastAsia"/>
        </w:rPr>
        <w:t>开发“合作价值观适配度评估表”，用于在合作伙伴筛选、评估或季度回顾中使用；</w:t>
      </w:r>
    </w:p>
    <w:p w14:paraId="790F7658">
      <w:pPr>
        <w:pStyle w:val="168"/>
      </w:pPr>
      <w:r>
        <w:rPr>
          <w:rFonts w:hint="eastAsia"/>
        </w:rPr>
        <w:t>对接企业文化部门，推动在新员工培训或跨部门协作中宣导该合作价值观体系。</w:t>
      </w:r>
    </w:p>
    <w:p w14:paraId="613C1237">
      <w:pPr>
        <w:pStyle w:val="6"/>
        <w:spacing w:before="120" w:after="120"/>
        <w:ind w:left="0"/>
      </w:pPr>
      <w:r>
        <w:rPr>
          <w:rFonts w:hint="eastAsia"/>
        </w:rPr>
        <w:t>实施价值观嵌入机制</w:t>
      </w:r>
    </w:p>
    <w:p w14:paraId="5893B8BF">
      <w:pPr>
        <w:pStyle w:val="168"/>
      </w:pPr>
      <w:r>
        <w:rPr>
          <w:rFonts w:hint="eastAsia"/>
        </w:rPr>
        <w:t>宜在日常合作机制中引入价值观指引，例如：</w:t>
      </w:r>
    </w:p>
    <w:p w14:paraId="36235F63">
      <w:pPr>
        <w:pStyle w:val="136"/>
        <w:tabs>
          <w:tab w:val="clear" w:pos="1276"/>
        </w:tabs>
        <w:ind w:left="851"/>
      </w:pPr>
      <w:r>
        <w:rPr>
          <w:rFonts w:hint="eastAsia"/>
        </w:rPr>
        <w:t>合作会议议程中设置“价值对齐”议题；</w:t>
      </w:r>
    </w:p>
    <w:p w14:paraId="060F374E">
      <w:pPr>
        <w:pStyle w:val="136"/>
        <w:tabs>
          <w:tab w:val="clear" w:pos="1276"/>
        </w:tabs>
        <w:ind w:left="851"/>
      </w:pPr>
      <w:r>
        <w:rPr>
          <w:rFonts w:hint="eastAsia"/>
        </w:rPr>
        <w:t>合作文件模板中增设“与共同价值的一致性说明”栏目。</w:t>
      </w:r>
    </w:p>
    <w:p w14:paraId="10C952C0">
      <w:pPr>
        <w:pStyle w:val="168"/>
      </w:pPr>
      <w:r>
        <w:rPr>
          <w:rFonts w:hint="eastAsia"/>
        </w:rPr>
        <w:t>宜在合同管理流程中，增设价值观背离的行为风险提示与问责条款，包括但不限于数据造假、环境违规。</w:t>
      </w:r>
    </w:p>
    <w:p w14:paraId="1678580F">
      <w:pPr>
        <w:pStyle w:val="168"/>
      </w:pPr>
      <w:r>
        <w:rPr>
          <w:rFonts w:hint="eastAsia"/>
        </w:rPr>
        <w:t>宜建立《合作文化手册》或《合作行为指南》，明确正面与不可接受的合作行为样例。</w:t>
      </w:r>
    </w:p>
    <w:p w14:paraId="4EA02504">
      <w:pPr>
        <w:pStyle w:val="6"/>
        <w:spacing w:before="120" w:after="120"/>
        <w:ind w:left="0"/>
      </w:pPr>
      <w:r>
        <w:rPr>
          <w:rFonts w:hint="eastAsia"/>
        </w:rPr>
        <w:t>构建价值观传播与共识机制</w:t>
      </w:r>
    </w:p>
    <w:p w14:paraId="70B8F419">
      <w:pPr>
        <w:pStyle w:val="168"/>
      </w:pPr>
      <w:r>
        <w:rPr>
          <w:rFonts w:hint="eastAsia"/>
        </w:rPr>
        <w:t>联合开展“合作文化日”等文化共建活动。</w:t>
      </w:r>
    </w:p>
    <w:p w14:paraId="027967A2">
      <w:pPr>
        <w:pStyle w:val="168"/>
      </w:pPr>
      <w:r>
        <w:rPr>
          <w:rFonts w:hint="eastAsia"/>
        </w:rPr>
        <w:t>设立合作标兵奖励机制，表彰践行共同价值观的典范团队与个人。</w:t>
      </w:r>
    </w:p>
    <w:p w14:paraId="068971C5">
      <w:pPr>
        <w:pStyle w:val="168"/>
      </w:pPr>
      <w:r>
        <w:rPr>
          <w:rFonts w:hint="eastAsia"/>
        </w:rPr>
        <w:t>推动价值观向其供应链延伸，鼓励二三级供应商或终端客户参与共建。</w:t>
      </w:r>
    </w:p>
    <w:p w14:paraId="26D8E0AC">
      <w:pPr>
        <w:pStyle w:val="6"/>
        <w:spacing w:before="120" w:after="120"/>
        <w:ind w:left="0"/>
      </w:pPr>
      <w:r>
        <w:rPr>
          <w:rFonts w:hint="eastAsia"/>
        </w:rPr>
        <w:t>价值观冲突处理机制</w:t>
      </w:r>
    </w:p>
    <w:p w14:paraId="692FF42F">
      <w:pPr>
        <w:pStyle w:val="168"/>
      </w:pPr>
      <w:r>
        <w:rPr>
          <w:rFonts w:hint="eastAsia"/>
        </w:rPr>
        <w:t>宜在合作治理结构中增设“价值冲突调解流程”，遇到以下情形时触发：</w:t>
      </w:r>
    </w:p>
    <w:p w14:paraId="6FB796C6">
      <w:pPr>
        <w:pStyle w:val="136"/>
        <w:tabs>
          <w:tab w:val="clear" w:pos="1276"/>
        </w:tabs>
        <w:ind w:left="851"/>
      </w:pPr>
      <w:r>
        <w:rPr>
          <w:rFonts w:hint="eastAsia"/>
        </w:rPr>
        <w:t>合作方内部对关键决策价值判断存在分歧；</w:t>
      </w:r>
    </w:p>
    <w:p w14:paraId="712012C0">
      <w:pPr>
        <w:pStyle w:val="136"/>
        <w:tabs>
          <w:tab w:val="clear" w:pos="1276"/>
        </w:tabs>
        <w:ind w:left="851"/>
      </w:pPr>
      <w:r>
        <w:rPr>
          <w:rFonts w:hint="eastAsia"/>
        </w:rPr>
        <w:t>某方行为明显违背原有合作承诺。</w:t>
      </w:r>
    </w:p>
    <w:p w14:paraId="767C5472">
      <w:pPr>
        <w:pStyle w:val="168"/>
      </w:pPr>
      <w:r>
        <w:rPr>
          <w:rFonts w:hint="eastAsia"/>
        </w:rPr>
        <w:t>调解机制包括快速回应机制、第三方中立评估、必要时组织“合作文化重申会议”。</w:t>
      </w:r>
    </w:p>
    <w:p w14:paraId="680628D6">
      <w:pPr>
        <w:pStyle w:val="6"/>
        <w:spacing w:before="120" w:after="120"/>
        <w:ind w:left="0"/>
      </w:pPr>
      <w:r>
        <w:rPr>
          <w:rFonts w:hint="eastAsia"/>
        </w:rPr>
        <w:t>价值观的持续评估与迭代</w:t>
      </w:r>
    </w:p>
    <w:p w14:paraId="4F59814B">
      <w:pPr>
        <w:pStyle w:val="168"/>
      </w:pPr>
      <w:r>
        <w:rPr>
          <w:rFonts w:hint="eastAsia"/>
        </w:rPr>
        <w:t>定期进行合作文化调研，收集合作方在理念、行为、信任感等方面的反馈；</w:t>
      </w:r>
    </w:p>
    <w:p w14:paraId="37C1F523">
      <w:pPr>
        <w:pStyle w:val="168"/>
      </w:pPr>
      <w:r>
        <w:rPr>
          <w:rFonts w:hint="eastAsia"/>
        </w:rPr>
        <w:t>在合作中期复盘时重新检视价值观是否仍适用，是否需因行业变动、合作阶段变化进行更新；</w:t>
      </w:r>
    </w:p>
    <w:p w14:paraId="456B2F29">
      <w:pPr>
        <w:pStyle w:val="168"/>
      </w:pPr>
      <w:r>
        <w:rPr>
          <w:rFonts w:hint="eastAsia"/>
        </w:rPr>
        <w:t>更新后的愿景与价值观需在各合作方及其内部相关部门再次共识确认，确保持续适配。</w:t>
      </w:r>
    </w:p>
    <w:p w14:paraId="4D70C946">
      <w:pPr>
        <w:pStyle w:val="3"/>
        <w:spacing w:before="240" w:after="240"/>
        <w:ind w:left="0"/>
      </w:pPr>
      <w:bookmarkStart w:id="62" w:name="_Toc203036635"/>
      <w:r>
        <w:rPr>
          <w:rFonts w:hint="eastAsia"/>
        </w:rPr>
        <w:t>业务目标</w:t>
      </w:r>
      <w:bookmarkEnd w:id="62"/>
    </w:p>
    <w:p w14:paraId="22358F7C">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79FDCB39">
      <w:pPr>
        <w:pStyle w:val="6"/>
        <w:spacing w:before="0" w:beforeLines="0" w:after="0" w:afterLines="0"/>
        <w:ind w:left="0"/>
        <w:rPr>
          <w:rFonts w:hint="eastAsia" w:ascii="宋体" w:hAnsi="宋体" w:eastAsia="宋体"/>
        </w:rPr>
      </w:pPr>
      <w:r>
        <w:rPr>
          <w:rFonts w:hint="eastAsia" w:ascii="宋体" w:hAnsi="宋体" w:eastAsia="宋体"/>
        </w:rPr>
        <w:t>业务目标强调合作关系宜服务于各方的业务目标，合作活动宜与每一方的战略规划、市场目标和绩效指标相一致，从而实现合作的可持续性与投资合理性。</w:t>
      </w:r>
    </w:p>
    <w:p w14:paraId="1B2AF49B">
      <w:pPr>
        <w:pStyle w:val="6"/>
        <w:spacing w:before="0" w:beforeLines="0" w:after="0" w:afterLines="0"/>
        <w:ind w:left="0"/>
        <w:rPr>
          <w:rFonts w:hint="eastAsia" w:ascii="宋体" w:hAnsi="宋体" w:eastAsia="宋体"/>
        </w:rPr>
      </w:pPr>
      <w:r>
        <w:rPr>
          <w:rFonts w:hint="eastAsia" w:ascii="宋体" w:hAnsi="宋体" w:eastAsia="宋体"/>
        </w:rPr>
        <w:t>对所有合作方而言，若合作目标未与企业核心业务结合，将难以长期持续投入：</w:t>
      </w:r>
    </w:p>
    <w:p w14:paraId="649E248C">
      <w:pPr>
        <w:pStyle w:val="136"/>
        <w:tabs>
          <w:tab w:val="clear" w:pos="1276"/>
        </w:tabs>
        <w:ind w:left="851"/>
      </w:pPr>
      <w:r>
        <w:rPr>
          <w:rFonts w:hint="eastAsia"/>
        </w:rPr>
        <w:t>链主企业：需要确保供应链合作项目能够支持企业产品战略、成本控制或创新驱动目标；</w:t>
      </w:r>
    </w:p>
    <w:p w14:paraId="3AA3F14B">
      <w:pPr>
        <w:pStyle w:val="136"/>
        <w:tabs>
          <w:tab w:val="clear" w:pos="1276"/>
        </w:tabs>
        <w:ind w:left="851"/>
      </w:pPr>
      <w:r>
        <w:rPr>
          <w:rFonts w:hint="eastAsia"/>
        </w:rPr>
        <w:t>上游企业：需识别合作是否为自身市场拓展、技术升级的路径；</w:t>
      </w:r>
    </w:p>
    <w:p w14:paraId="7D16A2C2">
      <w:pPr>
        <w:pStyle w:val="136"/>
        <w:tabs>
          <w:tab w:val="clear" w:pos="1276"/>
        </w:tabs>
        <w:ind w:left="851"/>
      </w:pPr>
      <w:r>
        <w:rPr>
          <w:rFonts w:hint="eastAsia"/>
        </w:rPr>
        <w:t>中游企业：需确保生产活动与合作目标一致，提升生产效率、降低成本、优化产品质量；</w:t>
      </w:r>
    </w:p>
    <w:p w14:paraId="5BEE3281">
      <w:pPr>
        <w:pStyle w:val="136"/>
        <w:tabs>
          <w:tab w:val="clear" w:pos="1276"/>
        </w:tabs>
        <w:ind w:left="851" w:hanging="426"/>
      </w:pPr>
      <w:r>
        <w:rPr>
          <w:rFonts w:hint="eastAsia"/>
        </w:rPr>
        <w:t>下游企业：更关注合作是否增强其客户响应能力和市场竞争力。</w:t>
      </w:r>
    </w:p>
    <w:p w14:paraId="0CC1351C">
      <w:pPr>
        <w:pStyle w:val="6"/>
        <w:spacing w:before="0" w:beforeLines="0" w:after="0" w:afterLines="0"/>
        <w:ind w:left="0"/>
        <w:rPr>
          <w:rFonts w:hint="eastAsia" w:ascii="宋体" w:hAnsi="宋体" w:eastAsia="宋体"/>
        </w:rPr>
      </w:pPr>
      <w:r>
        <w:rPr>
          <w:rFonts w:hint="eastAsia" w:ascii="宋体" w:hAnsi="宋体" w:eastAsia="宋体"/>
        </w:rPr>
        <w:t>为实现合作关系中业务目标的对齐与落地，需要在合作各阶段系统性嵌入目标识别、验证、追踪和调整的机制，企业宜按8.2进行实施。</w:t>
      </w:r>
    </w:p>
    <w:p w14:paraId="32BCEA9E">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4537D3F7">
      <w:pPr>
        <w:pStyle w:val="6"/>
        <w:spacing w:before="120" w:after="120"/>
        <w:ind w:left="0"/>
      </w:pPr>
      <w:r>
        <w:rPr>
          <w:rFonts w:hint="eastAsia"/>
        </w:rPr>
        <w:t>开展联合目标确认工作</w:t>
      </w:r>
    </w:p>
    <w:p w14:paraId="09CB8B2B">
      <w:pPr>
        <w:pStyle w:val="168"/>
      </w:pPr>
      <w:r>
        <w:rPr>
          <w:rFonts w:hint="eastAsia"/>
        </w:rPr>
        <w:t>在合作初期，组织目标对齐研讨会或合作可行性验证会，确保各合作方分别清晰表达自身核心业务驱动因素与合作动因；</w:t>
      </w:r>
    </w:p>
    <w:p w14:paraId="60A69B54">
      <w:pPr>
        <w:pStyle w:val="168"/>
      </w:pPr>
      <w:r>
        <w:rPr>
          <w:rFonts w:hint="eastAsia"/>
        </w:rPr>
        <w:t>使用“目标澄清画布”或“价值创造图谱”等工具，识别以下内容：</w:t>
      </w:r>
    </w:p>
    <w:p w14:paraId="72A1D3E2">
      <w:pPr>
        <w:pStyle w:val="136"/>
        <w:tabs>
          <w:tab w:val="clear" w:pos="1276"/>
        </w:tabs>
        <w:ind w:left="851"/>
      </w:pPr>
      <w:r>
        <w:rPr>
          <w:rFonts w:hint="eastAsia"/>
        </w:rPr>
        <w:t>各方希望通过合作实现的关键成果，例如，交付周期缩短、市场进入、产品认证；</w:t>
      </w:r>
    </w:p>
    <w:p w14:paraId="454A744C">
      <w:pPr>
        <w:pStyle w:val="136"/>
        <w:tabs>
          <w:tab w:val="clear" w:pos="1276"/>
        </w:tabs>
        <w:ind w:left="851"/>
      </w:pPr>
      <w:r>
        <w:rPr>
          <w:rFonts w:hint="eastAsia"/>
        </w:rPr>
        <w:t>成果的衡量标准及其优先级；</w:t>
      </w:r>
    </w:p>
    <w:p w14:paraId="545C505D">
      <w:pPr>
        <w:pStyle w:val="136"/>
        <w:tabs>
          <w:tab w:val="clear" w:pos="1276"/>
        </w:tabs>
        <w:ind w:left="851"/>
      </w:pPr>
      <w:r>
        <w:rPr>
          <w:rFonts w:hint="eastAsia"/>
        </w:rPr>
        <w:t>潜在的冲突或资源配置差异点；</w:t>
      </w:r>
    </w:p>
    <w:p w14:paraId="0365A81A">
      <w:pPr>
        <w:pStyle w:val="168"/>
      </w:pPr>
      <w:r>
        <w:rPr>
          <w:rFonts w:hint="eastAsia"/>
        </w:rPr>
        <w:t>输出合作业务目标清单，宜将其作为合作协议附件或协作备忘文件归档。</w:t>
      </w:r>
    </w:p>
    <w:p w14:paraId="6DEE8CB0">
      <w:pPr>
        <w:pStyle w:val="6"/>
        <w:spacing w:before="120" w:after="120"/>
        <w:ind w:left="0"/>
      </w:pPr>
      <w:r>
        <w:rPr>
          <w:rFonts w:hint="eastAsia"/>
        </w:rPr>
        <w:t>制定目标分层与映射机制</w:t>
      </w:r>
    </w:p>
    <w:p w14:paraId="73983252">
      <w:pPr>
        <w:pStyle w:val="168"/>
      </w:pPr>
      <w:r>
        <w:rPr>
          <w:rFonts w:hint="eastAsia"/>
        </w:rPr>
        <w:t>宜明确三层目标结构：</w:t>
      </w:r>
    </w:p>
    <w:p w14:paraId="30CF73B1">
      <w:pPr>
        <w:pStyle w:val="136"/>
        <w:tabs>
          <w:tab w:val="clear" w:pos="1276"/>
        </w:tabs>
        <w:ind w:left="851"/>
      </w:pPr>
      <w:r>
        <w:rPr>
          <w:rFonts w:hint="eastAsia"/>
        </w:rPr>
        <w:t>战略目标，例如，扩大市场份额、品牌提升、碳足迹削减；</w:t>
      </w:r>
    </w:p>
    <w:p w14:paraId="2196298A">
      <w:pPr>
        <w:pStyle w:val="136"/>
        <w:tabs>
          <w:tab w:val="clear" w:pos="1276"/>
        </w:tabs>
        <w:ind w:left="851"/>
      </w:pPr>
      <w:r>
        <w:rPr>
          <w:rFonts w:hint="eastAsia"/>
        </w:rPr>
        <w:t>战术目标，例如，产品一致性提升、合规率达标、交付及时性；</w:t>
      </w:r>
    </w:p>
    <w:p w14:paraId="18C45D9D">
      <w:pPr>
        <w:pStyle w:val="136"/>
        <w:tabs>
          <w:tab w:val="clear" w:pos="1276"/>
        </w:tabs>
        <w:ind w:left="851"/>
      </w:pPr>
      <w:r>
        <w:rPr>
          <w:rFonts w:hint="eastAsia"/>
        </w:rPr>
        <w:t>操作目标，例如，工单响应时间、样品确认周期、报表准确率。</w:t>
      </w:r>
    </w:p>
    <w:p w14:paraId="404818A4">
      <w:pPr>
        <w:pStyle w:val="168"/>
      </w:pPr>
      <w:r>
        <w:rPr>
          <w:rFonts w:hint="eastAsia"/>
        </w:rPr>
        <w:t>宜将目标映射至相关职能和关键岗位。</w:t>
      </w:r>
    </w:p>
    <w:p w14:paraId="2044AAE6">
      <w:pPr>
        <w:pStyle w:val="168"/>
      </w:pPr>
      <w:r>
        <w:rPr>
          <w:rFonts w:hint="eastAsia"/>
        </w:rPr>
        <w:t>宜建立“目标路径图”，展示从合作意图至具体行动计划之间的连接路径。</w:t>
      </w:r>
    </w:p>
    <w:p w14:paraId="055CFE58">
      <w:pPr>
        <w:pStyle w:val="6"/>
        <w:spacing w:before="120" w:after="120"/>
        <w:ind w:left="0"/>
      </w:pPr>
      <w:r>
        <w:rPr>
          <w:rFonts w:hint="eastAsia"/>
        </w:rPr>
        <w:t>将合作目标纳入关键绩效指标体系</w:t>
      </w:r>
    </w:p>
    <w:p w14:paraId="5B961FB4">
      <w:pPr>
        <w:pStyle w:val="168"/>
      </w:pPr>
      <w:r>
        <w:rPr>
          <w:rFonts w:hint="eastAsia"/>
        </w:rPr>
        <w:t>对于链主企业，将合作方业务目标部分转化为自身绩效考核要素，例如，合作满意度、供货稳定性。</w:t>
      </w:r>
    </w:p>
    <w:p w14:paraId="294B1CE6">
      <w:pPr>
        <w:pStyle w:val="168"/>
      </w:pPr>
      <w:r>
        <w:rPr>
          <w:rFonts w:hint="eastAsia"/>
        </w:rPr>
        <w:t>对于上游企业，将合作目标纳入工艺计划、交付承诺与质量协议。</w:t>
      </w:r>
    </w:p>
    <w:p w14:paraId="2FBA9D1D">
      <w:pPr>
        <w:pStyle w:val="168"/>
      </w:pPr>
      <w:r>
        <w:rPr>
          <w:rFonts w:hint="eastAsia"/>
        </w:rPr>
        <w:t>对于</w:t>
      </w:r>
      <w:r>
        <w:t>中游企业</w:t>
      </w:r>
      <w:r>
        <w:rPr>
          <w:rFonts w:hint="eastAsia"/>
        </w:rPr>
        <w:t>，</w:t>
      </w:r>
      <w:r>
        <w:t>将合作目标纳入生产计划、质量协议与交付承诺</w:t>
      </w:r>
      <w:r>
        <w:rPr>
          <w:rFonts w:hint="eastAsia"/>
        </w:rPr>
        <w:t>。</w:t>
      </w:r>
    </w:p>
    <w:p w14:paraId="44B26078">
      <w:pPr>
        <w:pStyle w:val="168"/>
      </w:pPr>
      <w:r>
        <w:rPr>
          <w:rFonts w:hint="eastAsia"/>
        </w:rPr>
        <w:t>对于下游企业，将合作目标体现在需求准确度、数据反馈及时性和用户满意度维护中。</w:t>
      </w:r>
    </w:p>
    <w:p w14:paraId="0A2BA4CD">
      <w:pPr>
        <w:pStyle w:val="6"/>
        <w:spacing w:before="120" w:after="120"/>
        <w:ind w:left="0"/>
      </w:pPr>
      <w:r>
        <w:rPr>
          <w:rFonts w:hint="eastAsia"/>
        </w:rPr>
        <w:t>建立动态目标管理机制</w:t>
      </w:r>
    </w:p>
    <w:p w14:paraId="475E11B5">
      <w:pPr>
        <w:pStyle w:val="168"/>
      </w:pPr>
      <w:r>
        <w:rPr>
          <w:rFonts w:hint="eastAsia"/>
        </w:rPr>
        <w:t>宜设立联合目标看板或协作管理平台，实时更新目标进度、关键节点状态与偏差预警。</w:t>
      </w:r>
    </w:p>
    <w:p w14:paraId="7EDA204C">
      <w:pPr>
        <w:pStyle w:val="168"/>
      </w:pPr>
      <w:r>
        <w:rPr>
          <w:rFonts w:hint="eastAsia"/>
        </w:rPr>
        <w:t>宜定期召开目标评估会，回顾目标完成情况、识别落差成因并制定调整计划。</w:t>
      </w:r>
    </w:p>
    <w:p w14:paraId="11E8538E">
      <w:pPr>
        <w:pStyle w:val="168"/>
      </w:pPr>
      <w:r>
        <w:rPr>
          <w:rFonts w:hint="eastAsia"/>
        </w:rPr>
        <w:t>宜对重要变更目标，例如，新增市场区域、紧急交付需求等，建立目标快速校准机制，减少响应延迟。</w:t>
      </w:r>
    </w:p>
    <w:p w14:paraId="18DA2B48">
      <w:pPr>
        <w:pStyle w:val="6"/>
        <w:spacing w:before="120" w:after="120"/>
        <w:ind w:left="0"/>
      </w:pPr>
      <w:r>
        <w:rPr>
          <w:rFonts w:hint="eastAsia"/>
        </w:rPr>
        <w:t>推动“共同目标+个体目标”双螺旋融合</w:t>
      </w:r>
    </w:p>
    <w:p w14:paraId="04BB2195">
      <w:pPr>
        <w:pStyle w:val="168"/>
      </w:pPr>
      <w:r>
        <w:rPr>
          <w:rFonts w:hint="eastAsia"/>
        </w:rPr>
        <w:t>宜通过利益共享机制，例如，激励分成、成本节约收益分配、技术成果共署，将共同目标转化为共赢目标</w:t>
      </w:r>
    </w:p>
    <w:p w14:paraId="1A03FBFE">
      <w:pPr>
        <w:pStyle w:val="168"/>
      </w:pPr>
      <w:r>
        <w:rPr>
          <w:rFonts w:hint="eastAsia"/>
        </w:rPr>
        <w:t>宜尊重各方独立目标，实现“不等同但协同”的合作模式：</w:t>
      </w:r>
    </w:p>
    <w:p w14:paraId="25E6EEDB">
      <w:pPr>
        <w:pStyle w:val="136"/>
        <w:tabs>
          <w:tab w:val="clear" w:pos="426"/>
          <w:tab w:val="clear" w:pos="1276"/>
        </w:tabs>
        <w:ind w:left="851" w:hanging="426"/>
      </w:pPr>
      <w:r>
        <w:rPr>
          <w:rFonts w:hint="eastAsia"/>
        </w:rPr>
        <w:t>上游企业追求批量生产效率，链主企业追求个性化配置；通过模块化配置体系实现协同；</w:t>
      </w:r>
    </w:p>
    <w:p w14:paraId="10536350">
      <w:pPr>
        <w:pStyle w:val="136"/>
        <w:tabs>
          <w:tab w:val="clear" w:pos="1276"/>
        </w:tabs>
        <w:ind w:left="851" w:hanging="426"/>
      </w:pPr>
      <w:r>
        <w:rPr>
          <w:rFonts w:hint="eastAsia"/>
        </w:rPr>
        <w:t>下游企业以用户满意度为核心，链主企业以供需平衡为关键；通过订单滚动预测机制实现协调。</w:t>
      </w:r>
    </w:p>
    <w:p w14:paraId="6A15AECE">
      <w:pPr>
        <w:pStyle w:val="6"/>
        <w:spacing w:before="120" w:after="120"/>
        <w:ind w:left="0"/>
      </w:pPr>
      <w:r>
        <w:rPr>
          <w:rFonts w:hint="eastAsia"/>
        </w:rPr>
        <w:t>将目标共识与契约性结合</w:t>
      </w:r>
    </w:p>
    <w:p w14:paraId="5CDFFE42">
      <w:pPr>
        <w:pStyle w:val="168"/>
      </w:pPr>
      <w:r>
        <w:rPr>
          <w:rFonts w:hint="eastAsia"/>
        </w:rPr>
        <w:t>在合作协议中设立“业务目标声明条款”或“阶段性成果责任清单”。</w:t>
      </w:r>
    </w:p>
    <w:p w14:paraId="182A199F">
      <w:pPr>
        <w:pStyle w:val="168"/>
      </w:pPr>
      <w:r>
        <w:rPr>
          <w:rFonts w:hint="eastAsia"/>
        </w:rPr>
        <w:t>对部分目标设置激励或约束机制，例如：</w:t>
      </w:r>
    </w:p>
    <w:p w14:paraId="2225B4F7">
      <w:pPr>
        <w:pStyle w:val="136"/>
        <w:tabs>
          <w:tab w:val="clear" w:pos="1276"/>
        </w:tabs>
        <w:ind w:left="851"/>
      </w:pPr>
      <w:r>
        <w:rPr>
          <w:rFonts w:hint="eastAsia"/>
        </w:rPr>
        <w:t>达成提前交付可获得服务积分；</w:t>
      </w:r>
    </w:p>
    <w:p w14:paraId="1B9C3728">
      <w:pPr>
        <w:pStyle w:val="136"/>
        <w:tabs>
          <w:tab w:val="clear" w:pos="1276"/>
        </w:tabs>
        <w:ind w:left="851"/>
      </w:pPr>
      <w:r>
        <w:rPr>
          <w:rFonts w:hint="eastAsia"/>
        </w:rPr>
        <w:t>未达合规率则触发整改协同机制。</w:t>
      </w:r>
    </w:p>
    <w:p w14:paraId="52FCC1B0">
      <w:pPr>
        <w:pStyle w:val="168"/>
      </w:pPr>
      <w:r>
        <w:rPr>
          <w:rFonts w:hint="eastAsia"/>
        </w:rPr>
        <w:t>定期将目标完成情况通报至领导决策部门，引导企业重视合作质量。</w:t>
      </w:r>
    </w:p>
    <w:p w14:paraId="7AE65FDD">
      <w:pPr>
        <w:pStyle w:val="3"/>
        <w:spacing w:before="240" w:after="240"/>
        <w:ind w:left="0"/>
      </w:pPr>
      <w:bookmarkStart w:id="63" w:name="_Toc203036636"/>
      <w:r>
        <w:rPr>
          <w:rFonts w:hint="eastAsia"/>
        </w:rPr>
        <w:t>合作的领导作用</w:t>
      </w:r>
      <w:bookmarkEnd w:id="63"/>
    </w:p>
    <w:p w14:paraId="272D024B">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320751C6">
      <w:pPr>
        <w:pStyle w:val="6"/>
        <w:spacing w:before="0" w:beforeLines="0" w:after="0" w:afterLines="0"/>
        <w:ind w:left="0"/>
        <w:rPr>
          <w:rFonts w:hint="eastAsia" w:ascii="宋体" w:hAnsi="宋体" w:eastAsia="宋体"/>
        </w:rPr>
      </w:pPr>
      <w:r>
        <w:rPr>
          <w:rFonts w:hint="eastAsia" w:ascii="宋体" w:hAnsi="宋体" w:eastAsia="宋体"/>
        </w:rPr>
        <w:t>合作的领导作用是指合作各方尤其是管理层在合作中发挥愿景引导、资源协调、文化建设和示范带动作用，以非控制性方式推动组织间协同。</w:t>
      </w:r>
    </w:p>
    <w:p w14:paraId="66ABDF09">
      <w:pPr>
        <w:pStyle w:val="6"/>
        <w:spacing w:before="0" w:beforeLines="0" w:after="0" w:afterLines="0"/>
        <w:ind w:left="0"/>
        <w:rPr>
          <w:rFonts w:hint="eastAsia" w:ascii="宋体" w:hAnsi="宋体" w:eastAsia="宋体"/>
        </w:rPr>
      </w:pPr>
      <w:r>
        <w:rPr>
          <w:rFonts w:hint="eastAsia" w:ascii="宋体" w:hAnsi="宋体" w:eastAsia="宋体"/>
        </w:rPr>
        <w:t>对于所有合作方来说，领导支持为合作奠定了基础，并向员工传达了其重要性。领导缺位将使合作流于形式，缺乏动力和行为一致性：</w:t>
      </w:r>
    </w:p>
    <w:p w14:paraId="4CF2A8D7">
      <w:pPr>
        <w:pStyle w:val="136"/>
        <w:tabs>
          <w:tab w:val="clear" w:pos="1276"/>
        </w:tabs>
        <w:ind w:left="851"/>
      </w:pPr>
      <w:r>
        <w:rPr>
          <w:rFonts w:hint="eastAsia"/>
        </w:rPr>
        <w:t>链主企业的高层支持与参与能赋能合作优先级与资源配置；</w:t>
      </w:r>
    </w:p>
    <w:p w14:paraId="6AB4F68A">
      <w:pPr>
        <w:pStyle w:val="136"/>
        <w:tabs>
          <w:tab w:val="clear" w:pos="1276"/>
        </w:tabs>
        <w:ind w:left="851"/>
      </w:pPr>
      <w:r>
        <w:rPr>
          <w:rFonts w:hint="eastAsia"/>
        </w:rPr>
        <w:t>上游企业需有意愿和能力调整内部流程和响应机制；</w:t>
      </w:r>
    </w:p>
    <w:p w14:paraId="00F75F9B">
      <w:pPr>
        <w:pStyle w:val="136"/>
        <w:tabs>
          <w:tab w:val="clear" w:pos="1276"/>
        </w:tabs>
        <w:ind w:left="851"/>
      </w:pPr>
      <w:r>
        <w:rPr>
          <w:rFonts w:hint="eastAsia"/>
        </w:rPr>
        <w:t>中游企业需领导层带动员工接纳与支持合作安排，提升生产协同效率；</w:t>
      </w:r>
    </w:p>
    <w:p w14:paraId="62D89DBF">
      <w:pPr>
        <w:pStyle w:val="136"/>
        <w:tabs>
          <w:tab w:val="clear" w:pos="1276"/>
        </w:tabs>
        <w:ind w:left="851"/>
      </w:pPr>
      <w:r>
        <w:rPr>
          <w:rFonts w:hint="eastAsia"/>
        </w:rPr>
        <w:t>下游企业需领导层带动员工接纳与支持合作安排。</w:t>
      </w:r>
    </w:p>
    <w:p w14:paraId="04BDC999">
      <w:pPr>
        <w:pStyle w:val="6"/>
        <w:spacing w:before="0" w:beforeLines="0" w:after="0" w:afterLines="0"/>
        <w:ind w:left="0"/>
        <w:rPr>
          <w:rFonts w:hint="eastAsia" w:ascii="宋体" w:hAnsi="宋体" w:eastAsia="宋体"/>
        </w:rPr>
      </w:pPr>
      <w:r>
        <w:rPr>
          <w:rFonts w:hint="eastAsia" w:ascii="宋体" w:hAnsi="宋体" w:eastAsia="宋体"/>
        </w:rPr>
        <w:t>在多方协作的供应链关系中，企业宜按照9.2建立有效的协同式领导，为合作关系赋能、提供方向、协调资源并激励各方践行合作承诺。</w:t>
      </w:r>
    </w:p>
    <w:p w14:paraId="7FEB9798">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17E9180F">
      <w:pPr>
        <w:pStyle w:val="6"/>
        <w:spacing w:before="120" w:after="120"/>
        <w:ind w:left="0"/>
      </w:pPr>
      <w:r>
        <w:rPr>
          <w:rFonts w:hint="eastAsia"/>
        </w:rPr>
        <w:t>明确高层支持与领导角色设置</w:t>
      </w:r>
    </w:p>
    <w:p w14:paraId="644CAB39">
      <w:pPr>
        <w:pStyle w:val="168"/>
      </w:pPr>
      <w:r>
        <w:rPr>
          <w:rFonts w:hint="eastAsia"/>
        </w:rPr>
        <w:t>宜在链主企业中指定一位中高层管理人员担任合作战略牵头人，例如，供应链副总裁、首席合作官。</w:t>
      </w:r>
    </w:p>
    <w:p w14:paraId="6C519740">
      <w:pPr>
        <w:pStyle w:val="168"/>
      </w:pPr>
      <w:r>
        <w:rPr>
          <w:rFonts w:hint="eastAsia"/>
        </w:rPr>
        <w:t>上、中、下游企业也宜明确合作负责人，形成跨企业的对等对接机制。</w:t>
      </w:r>
    </w:p>
    <w:p w14:paraId="3BBDFB1E">
      <w:pPr>
        <w:pStyle w:val="168"/>
      </w:pPr>
      <w:r>
        <w:rPr>
          <w:rFonts w:hint="eastAsia"/>
        </w:rPr>
        <w:t>宜将领导职责写入合作章程或联合项目说明书中，包括但不限于资源协调、关键问题仲裁、跨级沟通授权。</w:t>
      </w:r>
    </w:p>
    <w:p w14:paraId="02577289">
      <w:pPr>
        <w:pStyle w:val="6"/>
        <w:spacing w:before="120" w:after="120"/>
        <w:ind w:left="0"/>
      </w:pPr>
      <w:r>
        <w:rPr>
          <w:rFonts w:hint="eastAsia"/>
        </w:rPr>
        <w:t>设立联合领导小组或治理委员会</w:t>
      </w:r>
    </w:p>
    <w:p w14:paraId="5AF09A36">
      <w:pPr>
        <w:pStyle w:val="168"/>
      </w:pPr>
      <w:r>
        <w:rPr>
          <w:rFonts w:hint="eastAsia"/>
        </w:rPr>
        <w:t>对于中长期或战略性合作项目，可设立合作治理委员会或联合协调小组，由各合作方的核心领导组成，其职责包括但不限于制定年度合作目标、审批关键事项、审议风险应对计划、监督合作绩效。</w:t>
      </w:r>
    </w:p>
    <w:p w14:paraId="7F2E6DBD">
      <w:pPr>
        <w:pStyle w:val="168"/>
      </w:pPr>
      <w:r>
        <w:rPr>
          <w:rFonts w:hint="eastAsia"/>
        </w:rPr>
        <w:t>推荐设置“轮值主席制度”或“主导方+联合副主席”模式，推动职责轮动与平衡治理。</w:t>
      </w:r>
    </w:p>
    <w:p w14:paraId="3334DAC8">
      <w:pPr>
        <w:pStyle w:val="6"/>
        <w:spacing w:before="120" w:after="120"/>
        <w:ind w:left="0"/>
      </w:pPr>
      <w:r>
        <w:rPr>
          <w:rFonts w:hint="eastAsia"/>
        </w:rPr>
        <w:t>构建共创式领导文化</w:t>
      </w:r>
    </w:p>
    <w:p w14:paraId="0DB9EC86">
      <w:pPr>
        <w:pStyle w:val="168"/>
      </w:pPr>
      <w:r>
        <w:rPr>
          <w:rFonts w:hint="eastAsia"/>
        </w:rPr>
        <w:t>领导者宜采用影响力型领导方式，重视沟通、共识、示范和赋能，而非强制命令。</w:t>
      </w:r>
    </w:p>
    <w:p w14:paraId="30B37732">
      <w:pPr>
        <w:pStyle w:val="168"/>
      </w:pPr>
      <w:r>
        <w:rPr>
          <w:rFonts w:hint="eastAsia"/>
        </w:rPr>
        <w:t>宜在联合会议中引导共同议题设计、开放讨论、多方利益表达，以促进共识形成。</w:t>
      </w:r>
    </w:p>
    <w:p w14:paraId="779B4931">
      <w:pPr>
        <w:pStyle w:val="168"/>
      </w:pPr>
      <w:r>
        <w:rPr>
          <w:rFonts w:hint="eastAsia"/>
        </w:rPr>
        <w:t>鼓励展现合作精神，例如，公开表扬合作典范、对外联合发声、共同承担责任。</w:t>
      </w:r>
    </w:p>
    <w:p w14:paraId="1B53DD4E">
      <w:pPr>
        <w:pStyle w:val="6"/>
        <w:spacing w:before="120" w:after="120"/>
        <w:ind w:left="0"/>
      </w:pPr>
      <w:r>
        <w:rPr>
          <w:rFonts w:hint="eastAsia"/>
        </w:rPr>
        <w:t>开展领导层间的互访与对标交流</w:t>
      </w:r>
    </w:p>
    <w:p w14:paraId="7B5DC097">
      <w:pPr>
        <w:pStyle w:val="168"/>
      </w:pPr>
      <w:r>
        <w:rPr>
          <w:rFonts w:hint="eastAsia"/>
        </w:rPr>
        <w:t>定期组织供应链高层互访活动，深化彼此理解与信任。</w:t>
      </w:r>
    </w:p>
    <w:p w14:paraId="56B25717">
      <w:pPr>
        <w:pStyle w:val="168"/>
      </w:pPr>
      <w:r>
        <w:rPr>
          <w:rFonts w:hint="eastAsia"/>
        </w:rPr>
        <w:t>邀请合作方高层参加企业战略会、年终大会或新产品发布活动，建立长期共同体认同。</w:t>
      </w:r>
    </w:p>
    <w:p w14:paraId="042C90F0">
      <w:pPr>
        <w:pStyle w:val="168"/>
      </w:pPr>
      <w:r>
        <w:rPr>
          <w:rFonts w:hint="eastAsia"/>
        </w:rPr>
        <w:t>组织“联合领导者对标”活动，例如，参观先进合作项目，交流供应链协同创新经验。</w:t>
      </w:r>
    </w:p>
    <w:p w14:paraId="3CC101B5">
      <w:pPr>
        <w:pStyle w:val="6"/>
        <w:spacing w:before="120" w:after="120"/>
        <w:ind w:left="0"/>
      </w:pPr>
      <w:r>
        <w:rPr>
          <w:rFonts w:hint="eastAsia"/>
        </w:rPr>
        <w:t>赋能一线协同团队的领导力建设</w:t>
      </w:r>
    </w:p>
    <w:p w14:paraId="058903A5">
      <w:pPr>
        <w:pStyle w:val="168"/>
      </w:pPr>
      <w:r>
        <w:rPr>
          <w:rFonts w:hint="eastAsia"/>
        </w:rPr>
        <w:t>宜将领导力评价纳入合作绩效考核。</w:t>
      </w:r>
    </w:p>
    <w:p w14:paraId="536B5146">
      <w:pPr>
        <w:pStyle w:val="168"/>
      </w:pPr>
      <w:r>
        <w:rPr>
          <w:rFonts w:hint="eastAsia"/>
        </w:rPr>
        <w:t>宜为中层及一线协作团队提供“跨组织协同管理培训”，内容包括但不限于跨文化沟通、冲突协调、关系管理与合作决策。</w:t>
      </w:r>
    </w:p>
    <w:p w14:paraId="5719C012">
      <w:pPr>
        <w:pStyle w:val="168"/>
      </w:pPr>
      <w:r>
        <w:rPr>
          <w:rFonts w:hint="eastAsia"/>
        </w:rPr>
        <w:t>建立选派联合项目经理制度，由合作方共同推选具备协作能力的人员负责项目执行。</w:t>
      </w:r>
    </w:p>
    <w:p w14:paraId="73316D97">
      <w:pPr>
        <w:pStyle w:val="6"/>
        <w:spacing w:before="120" w:after="120"/>
        <w:ind w:left="0"/>
      </w:pPr>
      <w:r>
        <w:rPr>
          <w:rFonts w:hint="eastAsia"/>
        </w:rPr>
        <w:t>设立领导层级间的快速沟通与决策机制</w:t>
      </w:r>
    </w:p>
    <w:p w14:paraId="4A46315E">
      <w:pPr>
        <w:pStyle w:val="168"/>
      </w:pPr>
      <w:r>
        <w:rPr>
          <w:rFonts w:hint="eastAsia"/>
        </w:rPr>
        <w:t>宜建立三层协作结构：</w:t>
      </w:r>
    </w:p>
    <w:p w14:paraId="01E0B234">
      <w:pPr>
        <w:pStyle w:val="136"/>
        <w:tabs>
          <w:tab w:val="clear" w:pos="1276"/>
        </w:tabs>
        <w:ind w:left="851"/>
      </w:pPr>
      <w:r>
        <w:rPr>
          <w:rFonts w:hint="eastAsia"/>
        </w:rPr>
        <w:t>由高层领导组成的战略层，负责方向、资源与冲突仲裁；</w:t>
      </w:r>
    </w:p>
    <w:p w14:paraId="24211A35">
      <w:pPr>
        <w:pStyle w:val="136"/>
        <w:tabs>
          <w:tab w:val="clear" w:pos="1276"/>
        </w:tabs>
        <w:ind w:left="851"/>
      </w:pPr>
      <w:r>
        <w:rPr>
          <w:rFonts w:hint="eastAsia"/>
        </w:rPr>
        <w:t>由部门负责人组成的战术层，负责流程、指标、进度；</w:t>
      </w:r>
    </w:p>
    <w:p w14:paraId="24F72844">
      <w:pPr>
        <w:pStyle w:val="136"/>
        <w:tabs>
          <w:tab w:val="clear" w:pos="1276"/>
        </w:tabs>
        <w:ind w:left="851"/>
      </w:pPr>
      <w:r>
        <w:rPr>
          <w:rFonts w:hint="eastAsia"/>
        </w:rPr>
        <w:t>有项目对接人组成的操作层，负责执行、反馈、调整。</w:t>
      </w:r>
    </w:p>
    <w:p w14:paraId="7DB4BCEB">
      <w:pPr>
        <w:pStyle w:val="168"/>
      </w:pPr>
      <w:r>
        <w:rPr>
          <w:rFonts w:hint="eastAsia"/>
        </w:rPr>
        <w:t>宜设置“快速上报的联席决策机制”，确保高层参与处理关键事项，例如，目标变更、合同调整、交付延迟等。</w:t>
      </w:r>
    </w:p>
    <w:p w14:paraId="72F88E87">
      <w:pPr>
        <w:pStyle w:val="3"/>
        <w:spacing w:before="240" w:after="240"/>
        <w:ind w:left="0"/>
      </w:pPr>
      <w:bookmarkStart w:id="64" w:name="_Toc203036637"/>
      <w:r>
        <w:rPr>
          <w:rFonts w:hint="eastAsia"/>
        </w:rPr>
        <w:t>治理和过程</w:t>
      </w:r>
      <w:bookmarkEnd w:id="64"/>
    </w:p>
    <w:p w14:paraId="1FF0C388">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4BB89257">
      <w:pPr>
        <w:pStyle w:val="6"/>
        <w:spacing w:before="0" w:beforeLines="0" w:after="0" w:afterLines="0"/>
        <w:ind w:left="0"/>
        <w:rPr>
          <w:rFonts w:hint="eastAsia" w:ascii="宋体" w:hAnsi="宋体" w:eastAsia="宋体"/>
        </w:rPr>
      </w:pPr>
      <w:r>
        <w:rPr>
          <w:rFonts w:hint="eastAsia" w:ascii="宋体" w:hAnsi="宋体" w:eastAsia="宋体"/>
        </w:rPr>
        <w:t>治理和过程是指为保障合作目标实现，所建立的管理结构、职责划分、决策机制和工作流程等体系安排。</w:t>
      </w:r>
    </w:p>
    <w:p w14:paraId="518DE30C">
      <w:pPr>
        <w:pStyle w:val="6"/>
        <w:spacing w:before="0" w:beforeLines="0" w:after="0" w:afterLines="0"/>
        <w:ind w:left="0"/>
        <w:rPr>
          <w:rFonts w:hint="eastAsia" w:ascii="宋体" w:hAnsi="宋体" w:eastAsia="宋体"/>
        </w:rPr>
      </w:pPr>
      <w:r>
        <w:rPr>
          <w:rFonts w:hint="eastAsia" w:ascii="宋体" w:hAnsi="宋体" w:eastAsia="宋体"/>
        </w:rPr>
        <w:t>对于所有合作方来说，良好的治理机制有助于快速响应上下游需求变化，降低生产过程中的风险，缺乏治理结构将导致权责不清、反应迟滞、纠纷频发：</w:t>
      </w:r>
    </w:p>
    <w:p w14:paraId="28DD63CC">
      <w:pPr>
        <w:pStyle w:val="136"/>
        <w:tabs>
          <w:tab w:val="clear" w:pos="1276"/>
        </w:tabs>
        <w:ind w:left="851"/>
      </w:pPr>
      <w:r>
        <w:rPr>
          <w:rFonts w:hint="eastAsia"/>
        </w:rPr>
        <w:t>链主企业需通过治理机制管理多方供应商、规范执行效率与质量；</w:t>
      </w:r>
    </w:p>
    <w:p w14:paraId="7843928F">
      <w:pPr>
        <w:pStyle w:val="136"/>
        <w:tabs>
          <w:tab w:val="clear" w:pos="1276"/>
        </w:tabs>
        <w:ind w:left="851"/>
      </w:pPr>
      <w:r>
        <w:rPr>
          <w:rFonts w:hint="eastAsia"/>
        </w:rPr>
        <w:t>上游企业需要明确合作职责边界、接口规则和异常处理机制；</w:t>
      </w:r>
    </w:p>
    <w:p w14:paraId="78E29A11">
      <w:pPr>
        <w:pStyle w:val="136"/>
        <w:tabs>
          <w:tab w:val="clear" w:pos="1276"/>
        </w:tabs>
        <w:ind w:left="851"/>
      </w:pPr>
      <w:r>
        <w:rPr>
          <w:rFonts w:hint="eastAsia"/>
        </w:rPr>
        <w:t>中游企业需要清晰的治理结构来优化生产流程、确保产品质量和交付进度；</w:t>
      </w:r>
    </w:p>
    <w:p w14:paraId="1A9EC268">
      <w:pPr>
        <w:pStyle w:val="136"/>
        <w:tabs>
          <w:tab w:val="clear" w:pos="1276"/>
        </w:tabs>
        <w:ind w:left="851"/>
      </w:pPr>
      <w:r>
        <w:rPr>
          <w:rFonts w:hint="eastAsia"/>
        </w:rPr>
        <w:t>下游企业需要简化获取服务的流程，清晰沟通与反馈路径。</w:t>
      </w:r>
    </w:p>
    <w:p w14:paraId="467F3444">
      <w:pPr>
        <w:pStyle w:val="6"/>
        <w:spacing w:before="0" w:beforeLines="0" w:after="0" w:afterLines="0"/>
        <w:ind w:left="0"/>
        <w:rPr>
          <w:rFonts w:hint="eastAsia" w:ascii="宋体" w:hAnsi="宋体" w:eastAsia="宋体"/>
        </w:rPr>
      </w:pPr>
      <w:r>
        <w:rPr>
          <w:rFonts w:hint="eastAsia" w:ascii="宋体" w:hAnsi="宋体" w:eastAsia="宋体"/>
        </w:rPr>
        <w:t>治理和过程是合作关系得以持续、高效、有序运行的制度保障。企业宜按照10.2在供应链合作中有效落实该原则。</w:t>
      </w:r>
    </w:p>
    <w:p w14:paraId="32923319">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5A9E5998">
      <w:pPr>
        <w:pStyle w:val="6"/>
        <w:spacing w:before="120" w:after="120"/>
        <w:ind w:left="0"/>
      </w:pPr>
      <w:r>
        <w:rPr>
          <w:rFonts w:hint="eastAsia"/>
        </w:rPr>
        <w:t>建立多层级合作治理架构</w:t>
      </w:r>
    </w:p>
    <w:p w14:paraId="07DFFD1B">
      <w:pPr>
        <w:pStyle w:val="4"/>
        <w:ind w:firstLine="420"/>
      </w:pPr>
      <w:r>
        <w:rPr>
          <w:rFonts w:hint="eastAsia"/>
        </w:rPr>
        <w:t>宜建立三层治理结构，明确各层级治理机构的职责范围、汇报路径与决策权限：</w:t>
      </w:r>
    </w:p>
    <w:p w14:paraId="36FDA2F7">
      <w:pPr>
        <w:pStyle w:val="136"/>
        <w:tabs>
          <w:tab w:val="clear" w:pos="1276"/>
        </w:tabs>
        <w:ind w:left="851"/>
      </w:pPr>
      <w:r>
        <w:rPr>
          <w:rFonts w:hint="eastAsia"/>
        </w:rPr>
        <w:t>战略层治理（例如，合作委员会）：负责战略协同、资源授权、冲突解决；</w:t>
      </w:r>
    </w:p>
    <w:p w14:paraId="3B61B360">
      <w:pPr>
        <w:pStyle w:val="136"/>
        <w:tabs>
          <w:tab w:val="clear" w:pos="1276"/>
        </w:tabs>
        <w:ind w:left="851"/>
      </w:pPr>
      <w:r>
        <w:rPr>
          <w:rFonts w:hint="eastAsia"/>
        </w:rPr>
        <w:t>执行层治理（例如，项目群组、平台对接小组）：落实协同方案、流程衔接；</w:t>
      </w:r>
    </w:p>
    <w:p w14:paraId="2E2B34F4">
      <w:pPr>
        <w:pStyle w:val="136"/>
        <w:tabs>
          <w:tab w:val="clear" w:pos="1276"/>
        </w:tabs>
        <w:ind w:left="851"/>
      </w:pPr>
      <w:r>
        <w:rPr>
          <w:rFonts w:hint="eastAsia"/>
        </w:rPr>
        <w:t>操作层治理（例如，现场/订单/生产接口对接人）：确保信息通畅与操作闭环。</w:t>
      </w:r>
    </w:p>
    <w:p w14:paraId="5838C5DE">
      <w:pPr>
        <w:pStyle w:val="6"/>
        <w:spacing w:before="120" w:after="120"/>
        <w:ind w:left="0"/>
      </w:pPr>
      <w:r>
        <w:rPr>
          <w:rFonts w:hint="eastAsia"/>
        </w:rPr>
        <w:t>调整内部实践</w:t>
      </w:r>
    </w:p>
    <w:p w14:paraId="0579F860">
      <w:pPr>
        <w:pStyle w:val="168"/>
      </w:pPr>
      <w:r>
        <w:rPr>
          <w:rFonts w:hint="eastAsia"/>
        </w:rPr>
        <w:t>综合考虑组织绩效和整体供应链的协同效果，制定内外部评估标准。</w:t>
      </w:r>
    </w:p>
    <w:p w14:paraId="3D42C651">
      <w:pPr>
        <w:pStyle w:val="168"/>
      </w:pPr>
      <w:r>
        <w:rPr>
          <w:rFonts w:hint="eastAsia"/>
        </w:rPr>
        <w:t>根据合作需求调整管理方法和流程，以应对变化的市场情况。</w:t>
      </w:r>
    </w:p>
    <w:p w14:paraId="29DCD9BB">
      <w:pPr>
        <w:pStyle w:val="6"/>
        <w:spacing w:before="120" w:after="120"/>
        <w:ind w:left="0"/>
      </w:pPr>
      <w:r>
        <w:rPr>
          <w:rFonts w:hint="eastAsia"/>
        </w:rPr>
        <w:t>确立整体治理模式</w:t>
      </w:r>
    </w:p>
    <w:p w14:paraId="1596176E">
      <w:pPr>
        <w:pStyle w:val="4"/>
        <w:ind w:firstLine="420"/>
      </w:pPr>
      <w:r>
        <w:rPr>
          <w:rFonts w:hint="eastAsia"/>
        </w:rPr>
        <w:t>考虑以下关键要素以确立整体治理模式：</w:t>
      </w:r>
    </w:p>
    <w:p w14:paraId="3A0D86EA">
      <w:pPr>
        <w:pStyle w:val="136"/>
        <w:tabs>
          <w:tab w:val="clear" w:pos="1276"/>
        </w:tabs>
        <w:ind w:left="851"/>
      </w:pPr>
      <w:r>
        <w:rPr>
          <w:rFonts w:hint="eastAsia"/>
        </w:rPr>
        <w:t>明确治理团队的角色和职责；</w:t>
      </w:r>
    </w:p>
    <w:p w14:paraId="33FDA270">
      <w:pPr>
        <w:pStyle w:val="136"/>
        <w:tabs>
          <w:tab w:val="clear" w:pos="1276"/>
        </w:tabs>
        <w:ind w:left="851"/>
      </w:pPr>
      <w:r>
        <w:rPr>
          <w:rFonts w:hint="eastAsia"/>
        </w:rPr>
        <w:t>定义可交付成果及其验收标准；</w:t>
      </w:r>
    </w:p>
    <w:p w14:paraId="244D7DF4">
      <w:pPr>
        <w:pStyle w:val="136"/>
        <w:tabs>
          <w:tab w:val="clear" w:pos="1276"/>
        </w:tabs>
        <w:ind w:left="851"/>
      </w:pPr>
      <w:r>
        <w:rPr>
          <w:rFonts w:hint="eastAsia"/>
        </w:rPr>
        <w:t>制定互动频率计划，确保信息及时沟通；</w:t>
      </w:r>
    </w:p>
    <w:p w14:paraId="4BE5B642">
      <w:pPr>
        <w:pStyle w:val="136"/>
        <w:tabs>
          <w:tab w:val="clear" w:pos="1276"/>
        </w:tabs>
        <w:ind w:left="851"/>
      </w:pPr>
      <w:r>
        <w:rPr>
          <w:rFonts w:hint="eastAsia"/>
        </w:rPr>
        <w:t>建立联合运行计划，协调各方活动；</w:t>
      </w:r>
    </w:p>
    <w:p w14:paraId="4114B874">
      <w:pPr>
        <w:pStyle w:val="136"/>
        <w:tabs>
          <w:tab w:val="clear" w:pos="1276"/>
        </w:tabs>
        <w:ind w:left="851"/>
      </w:pPr>
      <w:r>
        <w:rPr>
          <w:rFonts w:hint="eastAsia"/>
        </w:rPr>
        <w:t>设定绩效评价机制，定期回顾和改进协作效果。</w:t>
      </w:r>
    </w:p>
    <w:p w14:paraId="62D64FD5">
      <w:pPr>
        <w:pStyle w:val="6"/>
        <w:spacing w:before="120" w:after="120"/>
        <w:ind w:left="0"/>
      </w:pPr>
      <w:r>
        <w:rPr>
          <w:rFonts w:hint="eastAsia"/>
        </w:rPr>
        <w:t>联合问题处理过程的采用</w:t>
      </w:r>
    </w:p>
    <w:p w14:paraId="22EDAC6F">
      <w:pPr>
        <w:pStyle w:val="168"/>
      </w:pPr>
      <w:r>
        <w:rPr>
          <w:rFonts w:hint="eastAsia"/>
        </w:rPr>
        <w:t>建立问题识别机制，鼓励各方及时报告问题，确保透明度。</w:t>
      </w:r>
    </w:p>
    <w:p w14:paraId="1118A827">
      <w:pPr>
        <w:pStyle w:val="168"/>
      </w:pPr>
      <w:r>
        <w:rPr>
          <w:rFonts w:hint="eastAsia"/>
        </w:rPr>
        <w:t>制定问题处理流程，明确责任人和处理时限，确保迅速响应。</w:t>
      </w:r>
    </w:p>
    <w:p w14:paraId="0402545B">
      <w:pPr>
        <w:pStyle w:val="6"/>
        <w:spacing w:before="120" w:after="120"/>
        <w:ind w:left="0"/>
      </w:pPr>
      <w:r>
        <w:rPr>
          <w:rFonts w:hint="eastAsia"/>
        </w:rPr>
        <w:t>加强沟通策略</w:t>
      </w:r>
    </w:p>
    <w:p w14:paraId="0E2F319E">
      <w:pPr>
        <w:pStyle w:val="4"/>
        <w:ind w:firstLine="420"/>
      </w:pPr>
      <w:r>
        <w:rPr>
          <w:rFonts w:hint="eastAsia"/>
        </w:rPr>
        <w:t>采取多样化沟通方式提高沟通效率：</w:t>
      </w:r>
    </w:p>
    <w:p w14:paraId="438F2E79">
      <w:pPr>
        <w:pStyle w:val="136"/>
        <w:tabs>
          <w:tab w:val="clear" w:pos="1276"/>
        </w:tabs>
        <w:ind w:left="851"/>
      </w:pPr>
      <w:r>
        <w:rPr>
          <w:rFonts w:hint="eastAsia"/>
        </w:rPr>
        <w:t>利用正式渠道（例如，会议、工作简报）与非正式渠道（例如，社交媒体、即时通讯工具）相结合；</w:t>
      </w:r>
    </w:p>
    <w:p w14:paraId="63777043">
      <w:pPr>
        <w:pStyle w:val="136"/>
        <w:tabs>
          <w:tab w:val="clear" w:pos="1276"/>
        </w:tabs>
        <w:ind w:left="851"/>
      </w:pPr>
      <w:r>
        <w:rPr>
          <w:rFonts w:hint="eastAsia"/>
        </w:rPr>
        <w:t>通过信息共享平台交流和分享信息。</w:t>
      </w:r>
    </w:p>
    <w:p w14:paraId="5971FC2C">
      <w:pPr>
        <w:pStyle w:val="6"/>
        <w:spacing w:before="120" w:after="120"/>
        <w:ind w:left="0"/>
      </w:pPr>
      <w:r>
        <w:rPr>
          <w:rFonts w:hint="eastAsia"/>
        </w:rPr>
        <w:t>制定协议或合同安排</w:t>
      </w:r>
    </w:p>
    <w:p w14:paraId="49E06F43">
      <w:pPr>
        <w:pStyle w:val="168"/>
      </w:pPr>
      <w:r>
        <w:rPr>
          <w:rFonts w:hint="eastAsia"/>
        </w:rPr>
        <w:t>明确合作中的风险和收益分配机制，保证各方利益。</w:t>
      </w:r>
    </w:p>
    <w:p w14:paraId="421943EB">
      <w:pPr>
        <w:pStyle w:val="168"/>
      </w:pPr>
      <w:r>
        <w:rPr>
          <w:rFonts w:hint="eastAsia"/>
        </w:rPr>
        <w:t>定义清晰的退出条款，确保在合作不再适宜时，各方能够平稳退出。</w:t>
      </w:r>
    </w:p>
    <w:p w14:paraId="48BAFE0A">
      <w:pPr>
        <w:pStyle w:val="168"/>
      </w:pPr>
      <w:r>
        <w:rPr>
          <w:rFonts w:hint="eastAsia"/>
        </w:rPr>
        <w:t>确保合作过程中积累的知识可以有效转移，并考虑合作的长期可持续性。</w:t>
      </w:r>
    </w:p>
    <w:p w14:paraId="4480CAF4">
      <w:pPr>
        <w:pStyle w:val="3"/>
        <w:spacing w:before="240" w:after="240"/>
        <w:ind w:left="0"/>
      </w:pPr>
      <w:bookmarkStart w:id="65" w:name="_Toc203036638"/>
      <w:r>
        <w:rPr>
          <w:rFonts w:hint="eastAsia"/>
        </w:rPr>
        <w:t>合作能力和行为</w:t>
      </w:r>
      <w:bookmarkEnd w:id="65"/>
    </w:p>
    <w:p w14:paraId="504CA6F7">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59E2CADD">
      <w:pPr>
        <w:pStyle w:val="6"/>
        <w:spacing w:before="0" w:beforeLines="0" w:after="0" w:afterLines="0"/>
        <w:ind w:left="0"/>
        <w:rPr>
          <w:rFonts w:hint="eastAsia" w:ascii="宋体" w:hAnsi="宋体" w:eastAsia="宋体"/>
        </w:rPr>
      </w:pPr>
      <w:r>
        <w:rPr>
          <w:rFonts w:hint="eastAsia" w:ascii="宋体" w:hAnsi="宋体" w:eastAsia="宋体"/>
        </w:rPr>
        <w:t>合作能力和行为强调在合作中，不仅需要制度和流程，更需要人员具备协作能力与正向合作行为，包括但不限于沟通能力、开放态度、共赢意识、信任建设和解决冲突的能力。</w:t>
      </w:r>
    </w:p>
    <w:p w14:paraId="6C8D5C85">
      <w:pPr>
        <w:pStyle w:val="6"/>
        <w:spacing w:before="0" w:beforeLines="0" w:after="0" w:afterLines="0"/>
        <w:ind w:left="0"/>
        <w:rPr>
          <w:rFonts w:hint="eastAsia" w:ascii="宋体" w:hAnsi="宋体" w:eastAsia="宋体"/>
        </w:rPr>
      </w:pPr>
      <w:r>
        <w:rPr>
          <w:rFonts w:hint="eastAsia" w:ascii="宋体" w:hAnsi="宋体" w:eastAsia="宋体"/>
        </w:rPr>
        <w:t>对于所有合作方来说，缺乏这些能力将造成沟通不畅、执行走样、信任流失：</w:t>
      </w:r>
    </w:p>
    <w:p w14:paraId="3D88AB9B">
      <w:pPr>
        <w:pStyle w:val="136"/>
        <w:tabs>
          <w:tab w:val="clear" w:pos="1276"/>
        </w:tabs>
        <w:ind w:left="851"/>
      </w:pPr>
      <w:r>
        <w:rPr>
          <w:rFonts w:hint="eastAsia"/>
        </w:rPr>
        <w:t>链主企业需要具备整合多方资源并处理多方诉求的能力；</w:t>
      </w:r>
    </w:p>
    <w:p w14:paraId="5B002565">
      <w:pPr>
        <w:pStyle w:val="136"/>
        <w:tabs>
          <w:tab w:val="clear" w:pos="1276"/>
        </w:tabs>
        <w:ind w:left="851"/>
      </w:pPr>
      <w:r>
        <w:rPr>
          <w:rFonts w:hint="eastAsia"/>
        </w:rPr>
        <w:t>上游企业人员需快速理解合作要求并积极配合流程；</w:t>
      </w:r>
    </w:p>
    <w:p w14:paraId="423D6EA3">
      <w:pPr>
        <w:pStyle w:val="136"/>
        <w:tabs>
          <w:tab w:val="clear" w:pos="1276"/>
        </w:tabs>
        <w:ind w:left="851"/>
      </w:pPr>
      <w:r>
        <w:rPr>
          <w:rFonts w:hint="eastAsia"/>
        </w:rPr>
        <w:t>中游企业需要具备高效的协同能力，以确保生产流程的顺畅和高效；</w:t>
      </w:r>
    </w:p>
    <w:p w14:paraId="21510E5F">
      <w:pPr>
        <w:pStyle w:val="136"/>
        <w:tabs>
          <w:tab w:val="clear" w:pos="1276"/>
        </w:tabs>
        <w:ind w:left="851" w:hanging="426"/>
      </w:pPr>
      <w:r>
        <w:rPr>
          <w:rFonts w:hint="eastAsia"/>
        </w:rPr>
        <w:t>下游企业服务人员需与供应方高效对接以提升终端客户体验。</w:t>
      </w:r>
    </w:p>
    <w:p w14:paraId="27AE219B">
      <w:pPr>
        <w:pStyle w:val="6"/>
        <w:spacing w:before="0" w:beforeLines="0" w:after="0" w:afterLines="0"/>
        <w:ind w:left="0"/>
        <w:rPr>
          <w:rFonts w:hint="eastAsia" w:ascii="宋体" w:hAnsi="宋体" w:eastAsia="宋体"/>
        </w:rPr>
      </w:pPr>
      <w:r>
        <w:rPr>
          <w:rFonts w:hint="eastAsia" w:ascii="宋体" w:hAnsi="宋体" w:eastAsia="宋体"/>
        </w:rPr>
        <w:t>合作能力和行为建设是供应链合作从“协议合作”走向“行为一致”、“文化兼容”的关键步骤。企业宜按照11.2有效落实该原则。</w:t>
      </w:r>
    </w:p>
    <w:p w14:paraId="5E4C02E9">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3032F830">
      <w:pPr>
        <w:pStyle w:val="6"/>
        <w:spacing w:before="120" w:after="120"/>
        <w:ind w:left="0"/>
      </w:pPr>
      <w:r>
        <w:rPr>
          <w:rFonts w:hint="eastAsia"/>
        </w:rPr>
        <w:t>建立协同能力框架</w:t>
      </w:r>
    </w:p>
    <w:p w14:paraId="2E680BD3">
      <w:pPr>
        <w:pStyle w:val="168"/>
      </w:pPr>
      <w:r>
        <w:rPr>
          <w:rFonts w:hint="eastAsia"/>
        </w:rPr>
        <w:t>明确在跨企业合作中所需的通用能力，包括但不限于跨文化沟通、协同规划、冲突解决、服务意识与数据共享。</w:t>
      </w:r>
    </w:p>
    <w:p w14:paraId="2AFB320F">
      <w:pPr>
        <w:pStyle w:val="168"/>
      </w:pPr>
      <w:r>
        <w:rPr>
          <w:rFonts w:hint="eastAsia"/>
        </w:rPr>
        <w:t>宜将合作能力细化为岗位行为标准，制定《合作岗位能力要求手册》，形成协同能力矩阵，对应采购、供应、物流、客服等角色职责，用于人员选聘、培训与评估。</w:t>
      </w:r>
    </w:p>
    <w:p w14:paraId="03435A2C">
      <w:pPr>
        <w:pStyle w:val="168"/>
      </w:pPr>
      <w:r>
        <w:rPr>
          <w:rFonts w:hint="eastAsia"/>
        </w:rPr>
        <w:t>合作方宜联合开展培训与认证：</w:t>
      </w:r>
    </w:p>
    <w:p w14:paraId="49E6F42B">
      <w:pPr>
        <w:pStyle w:val="136"/>
        <w:tabs>
          <w:tab w:val="clear" w:pos="1276"/>
        </w:tabs>
        <w:ind w:left="851"/>
      </w:pPr>
      <w:r>
        <w:rPr>
          <w:rFonts w:hint="eastAsia"/>
        </w:rPr>
        <w:t>链主企业宜牵头建立培训项目，例如，供应链协同学院、合作管理培训营，联合上游与下游企业开展协同能力提升；</w:t>
      </w:r>
    </w:p>
    <w:p w14:paraId="3C31F994">
      <w:pPr>
        <w:pStyle w:val="136"/>
        <w:tabs>
          <w:tab w:val="clear" w:pos="1276"/>
        </w:tabs>
        <w:ind w:left="851"/>
      </w:pPr>
      <w:r>
        <w:rPr>
          <w:rFonts w:hint="eastAsia"/>
        </w:rPr>
        <w:t>培训内容宜包括但不限于供应链合作理念、平台协作工具操作、行为准则演练；</w:t>
      </w:r>
    </w:p>
    <w:p w14:paraId="1871FE10">
      <w:pPr>
        <w:pStyle w:val="136"/>
        <w:tabs>
          <w:tab w:val="clear" w:pos="1276"/>
        </w:tabs>
        <w:ind w:left="851"/>
      </w:pPr>
      <w:r>
        <w:rPr>
          <w:rFonts w:hint="eastAsia"/>
        </w:rPr>
        <w:t>对完成培训的员工授予协同岗位资格证书或合作行为达标标识，并纳入项目优先配置考量。</w:t>
      </w:r>
    </w:p>
    <w:p w14:paraId="682C60B6">
      <w:pPr>
        <w:pStyle w:val="6"/>
        <w:spacing w:before="120" w:after="120"/>
        <w:ind w:left="0"/>
      </w:pPr>
      <w:r>
        <w:rPr>
          <w:rFonts w:hint="eastAsia"/>
        </w:rPr>
        <w:t>明确合作行为规范与准则</w:t>
      </w:r>
    </w:p>
    <w:p w14:paraId="0987091A">
      <w:pPr>
        <w:pStyle w:val="168"/>
      </w:pPr>
      <w:r>
        <w:rPr>
          <w:rFonts w:hint="eastAsia"/>
        </w:rPr>
        <w:t>制定《合作行为准则》，包括但不限于沟通礼仪、会议纪律、信息反馈周期、问题处理态度；</w:t>
      </w:r>
    </w:p>
    <w:p w14:paraId="1C74DBE7">
      <w:pPr>
        <w:pStyle w:val="168"/>
      </w:pPr>
      <w:r>
        <w:rPr>
          <w:rFonts w:hint="eastAsia"/>
        </w:rPr>
        <w:t>联合发布《我们在合作中倡导的行为》，用于对内宣导与对外共享。</w:t>
      </w:r>
    </w:p>
    <w:p w14:paraId="0314DC20">
      <w:pPr>
        <w:pStyle w:val="168"/>
      </w:pPr>
      <w:r>
        <w:rPr>
          <w:rFonts w:hint="eastAsia"/>
        </w:rPr>
        <w:t>宜在合作协议中附加行为背离纠正机制与建议纠纷协商流程。</w:t>
      </w:r>
    </w:p>
    <w:p w14:paraId="524D7BBC">
      <w:pPr>
        <w:pStyle w:val="6"/>
        <w:spacing w:before="120" w:after="120"/>
        <w:ind w:left="0"/>
      </w:pPr>
      <w:r>
        <w:rPr>
          <w:rFonts w:hint="eastAsia"/>
        </w:rPr>
        <w:t>推动文化理解与互信建设</w:t>
      </w:r>
    </w:p>
    <w:p w14:paraId="0190B96A">
      <w:pPr>
        <w:pStyle w:val="168"/>
      </w:pPr>
      <w:r>
        <w:rPr>
          <w:rFonts w:hint="eastAsia"/>
        </w:rPr>
        <w:t>举办“合作文化沙龙”、“互访开放日”等互动活动，打破隔阂，增进理解。</w:t>
      </w:r>
    </w:p>
    <w:p w14:paraId="55CC00C7">
      <w:pPr>
        <w:pStyle w:val="168"/>
      </w:pPr>
      <w:r>
        <w:rPr>
          <w:rFonts w:hint="eastAsia"/>
        </w:rPr>
        <w:t>汇编《典型行为案例手册》，包括正向典范与反面警示，用于内部激励与对外展示。</w:t>
      </w:r>
    </w:p>
    <w:p w14:paraId="0E46A3AB">
      <w:pPr>
        <w:pStyle w:val="6"/>
        <w:spacing w:before="120" w:after="120"/>
        <w:ind w:left="0"/>
      </w:pPr>
      <w:r>
        <w:rPr>
          <w:rFonts w:hint="eastAsia"/>
        </w:rPr>
        <w:t>协同行为绩效考核机制</w:t>
      </w:r>
    </w:p>
    <w:p w14:paraId="470194A3">
      <w:pPr>
        <w:pStyle w:val="168"/>
      </w:pPr>
      <w:r>
        <w:rPr>
          <w:rFonts w:hint="eastAsia"/>
        </w:rPr>
        <w:t>在绩效体系中引入“合作行为”评分维度，例如，主动沟通、响应时效、协同创新。</w:t>
      </w:r>
    </w:p>
    <w:p w14:paraId="22B00FED">
      <w:pPr>
        <w:pStyle w:val="168"/>
      </w:pPr>
      <w:r>
        <w:rPr>
          <w:rFonts w:hint="eastAsia"/>
        </w:rPr>
        <w:t>推行“合作评价”，鼓励合作方之间互评。</w:t>
      </w:r>
    </w:p>
    <w:p w14:paraId="0F8973C3">
      <w:pPr>
        <w:pStyle w:val="168"/>
      </w:pPr>
      <w:r>
        <w:rPr>
          <w:rFonts w:hint="eastAsia"/>
        </w:rPr>
        <w:t>将合作行为纳入供应商评分或客户评价体系，激励形成良好合作习惯。</w:t>
      </w:r>
    </w:p>
    <w:p w14:paraId="272AC00E">
      <w:pPr>
        <w:pStyle w:val="6"/>
        <w:spacing w:before="120" w:after="120"/>
        <w:ind w:left="0"/>
      </w:pPr>
      <w:r>
        <w:rPr>
          <w:rFonts w:hint="eastAsia"/>
        </w:rPr>
        <w:t>辅导与改进行为表现</w:t>
      </w:r>
    </w:p>
    <w:p w14:paraId="2E16A61D">
      <w:pPr>
        <w:pStyle w:val="168"/>
      </w:pPr>
      <w:r>
        <w:rPr>
          <w:rFonts w:hint="eastAsia"/>
        </w:rPr>
        <w:t>设置合作能力和行为辅导员或合作气候观察员角色，定期走访与引导合作行为。</w:t>
      </w:r>
    </w:p>
    <w:p w14:paraId="35EF75E3">
      <w:pPr>
        <w:pStyle w:val="168"/>
      </w:pPr>
      <w:r>
        <w:rPr>
          <w:rFonts w:hint="eastAsia"/>
        </w:rPr>
        <w:t>宜对行为偏差进行非惩罚性辅导与改善建议，例如，行为改进反馈卡、合作诊断谈话。</w:t>
      </w:r>
    </w:p>
    <w:p w14:paraId="0DC5F5CA">
      <w:pPr>
        <w:pStyle w:val="168"/>
      </w:pPr>
      <w:r>
        <w:rPr>
          <w:rFonts w:hint="eastAsia"/>
        </w:rPr>
        <w:t>宜对屡次违背合作行为要求的个体或组织，设立合作行为提醒机制或阶段性限权措施。</w:t>
      </w:r>
    </w:p>
    <w:p w14:paraId="1BF6BA80">
      <w:pPr>
        <w:pStyle w:val="3"/>
        <w:spacing w:before="240" w:after="240"/>
        <w:ind w:left="0"/>
      </w:pPr>
      <w:bookmarkStart w:id="66" w:name="_Toc203036639"/>
      <w:r>
        <w:rPr>
          <w:rFonts w:hint="eastAsia"/>
        </w:rPr>
        <w:t>互信与共同获益承诺</w:t>
      </w:r>
      <w:bookmarkEnd w:id="66"/>
    </w:p>
    <w:p w14:paraId="4953281E">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309EC9CA">
      <w:pPr>
        <w:pStyle w:val="6"/>
        <w:spacing w:before="0" w:beforeLines="0" w:after="0" w:afterLines="0"/>
        <w:ind w:left="0"/>
        <w:rPr>
          <w:rFonts w:hint="eastAsia" w:ascii="宋体" w:hAnsi="宋体" w:eastAsia="宋体"/>
        </w:rPr>
      </w:pPr>
      <w:r>
        <w:rPr>
          <w:rFonts w:hint="eastAsia" w:ascii="宋体" w:hAnsi="宋体" w:eastAsia="宋体"/>
        </w:rPr>
        <w:t>信任与承诺是合作关系的核心基础，体现为合作双方对彼此意图、能力和持续合作意愿的认可，以及在实际行动中兑现承诺、共担责任的表现。</w:t>
      </w:r>
    </w:p>
    <w:p w14:paraId="7E96E195">
      <w:pPr>
        <w:pStyle w:val="6"/>
        <w:spacing w:before="0" w:beforeLines="0" w:after="0" w:afterLines="0"/>
        <w:ind w:left="0"/>
        <w:rPr>
          <w:rFonts w:hint="eastAsia" w:ascii="宋体" w:hAnsi="宋体" w:eastAsia="宋体"/>
        </w:rPr>
      </w:pPr>
      <w:r>
        <w:rPr>
          <w:rFonts w:hint="eastAsia" w:ascii="宋体" w:hAnsi="宋体" w:eastAsia="宋体"/>
        </w:rPr>
        <w:t>对所有合作方来说，信任与承诺是确保生产活动顺利进行的关键，信任缺失将导致防备心理、流程加重、关系僵化甚至终止合作：</w:t>
      </w:r>
    </w:p>
    <w:p w14:paraId="4E495175">
      <w:pPr>
        <w:pStyle w:val="136"/>
        <w:tabs>
          <w:tab w:val="clear" w:pos="1276"/>
        </w:tabs>
        <w:ind w:left="851"/>
      </w:pPr>
      <w:r>
        <w:rPr>
          <w:rFonts w:hint="eastAsia"/>
        </w:rPr>
        <w:t>链主企业通过信任合作方可以实现柔性管理、降低监督成本；</w:t>
      </w:r>
    </w:p>
    <w:p w14:paraId="0422B257">
      <w:pPr>
        <w:pStyle w:val="136"/>
        <w:tabs>
          <w:tab w:val="clear" w:pos="1276"/>
        </w:tabs>
        <w:ind w:left="851"/>
      </w:pPr>
      <w:r>
        <w:rPr>
          <w:rFonts w:hint="eastAsia"/>
        </w:rPr>
        <w:t>上游企业在被信任的环境中更愿意投入资源、提前布局；</w:t>
      </w:r>
    </w:p>
    <w:p w14:paraId="10D81C0F">
      <w:pPr>
        <w:pStyle w:val="136"/>
        <w:tabs>
          <w:tab w:val="clear" w:pos="1276"/>
        </w:tabs>
        <w:ind w:left="851"/>
      </w:pPr>
      <w:r>
        <w:rPr>
          <w:rFonts w:hint="eastAsia"/>
        </w:rPr>
        <w:t>中游企业通过信任合作能够减少内部协调成本，提高生产效率，同时增强与上下游企业的合作稳定性；</w:t>
      </w:r>
    </w:p>
    <w:p w14:paraId="0C966EFC">
      <w:pPr>
        <w:pStyle w:val="136"/>
        <w:tabs>
          <w:tab w:val="clear" w:pos="1276"/>
        </w:tabs>
        <w:ind w:left="851"/>
      </w:pPr>
      <w:r>
        <w:rPr>
          <w:rFonts w:hint="eastAsia"/>
        </w:rPr>
        <w:t>下游企业在获得承诺保障下能更安心推广产品与服务。</w:t>
      </w:r>
    </w:p>
    <w:p w14:paraId="1636DD38">
      <w:pPr>
        <w:pStyle w:val="6"/>
        <w:spacing w:before="0" w:beforeLines="0" w:after="0" w:afterLines="0"/>
        <w:ind w:left="0"/>
        <w:rPr>
          <w:rFonts w:hint="eastAsia" w:ascii="宋体" w:hAnsi="宋体" w:eastAsia="宋体"/>
        </w:rPr>
      </w:pPr>
      <w:r>
        <w:rPr>
          <w:rFonts w:hint="eastAsia" w:ascii="宋体" w:hAnsi="宋体" w:eastAsia="宋体"/>
        </w:rPr>
        <w:t>在供应链合作中，信任是合作意愿和协同效率的基石，而承诺是合作持续性的保障。企业宜按照12.2系统实施该原则。</w:t>
      </w:r>
    </w:p>
    <w:p w14:paraId="51D16A69">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5E12CD88">
      <w:pPr>
        <w:pStyle w:val="6"/>
        <w:spacing w:before="120" w:after="120"/>
        <w:ind w:left="0"/>
      </w:pPr>
      <w:r>
        <w:rPr>
          <w:rFonts w:hint="eastAsia"/>
        </w:rPr>
        <w:t>建立信任的“初始机制”</w:t>
      </w:r>
    </w:p>
    <w:p w14:paraId="1263C2EF">
      <w:pPr>
        <w:pStyle w:val="168"/>
      </w:pPr>
      <w:r>
        <w:rPr>
          <w:rFonts w:hint="eastAsia"/>
        </w:rPr>
        <w:t>在合作初期阶段，宜通过以下方式构建结构性信任基础：</w:t>
      </w:r>
    </w:p>
    <w:p w14:paraId="183A0D37">
      <w:pPr>
        <w:pStyle w:val="136"/>
        <w:tabs>
          <w:tab w:val="clear" w:pos="1276"/>
        </w:tabs>
        <w:ind w:left="851"/>
      </w:pPr>
      <w:r>
        <w:rPr>
          <w:rFonts w:hint="eastAsia"/>
        </w:rPr>
        <w:t>信息对称：披露企业资质、历史合作案例、质量记录等。</w:t>
      </w:r>
    </w:p>
    <w:p w14:paraId="0619A7EA">
      <w:pPr>
        <w:pStyle w:val="136"/>
        <w:tabs>
          <w:tab w:val="clear" w:pos="1276"/>
        </w:tabs>
        <w:ind w:left="851"/>
      </w:pPr>
      <w:r>
        <w:rPr>
          <w:rFonts w:hint="eastAsia"/>
        </w:rPr>
        <w:t>流程标准化：采用清晰的规则、流程、接口，减少模糊与误解。</w:t>
      </w:r>
    </w:p>
    <w:p w14:paraId="214B6093">
      <w:pPr>
        <w:pStyle w:val="136"/>
        <w:tabs>
          <w:tab w:val="clear" w:pos="1276"/>
        </w:tabs>
        <w:ind w:left="851"/>
      </w:pPr>
      <w:r>
        <w:rPr>
          <w:rFonts w:hint="eastAsia"/>
        </w:rPr>
        <w:t>第三方信用背书：例如，行业认证、评估报告、平台担保机制等。</w:t>
      </w:r>
    </w:p>
    <w:p w14:paraId="0C2550FF">
      <w:pPr>
        <w:pStyle w:val="168"/>
      </w:pPr>
      <w:r>
        <w:rPr>
          <w:rFonts w:hint="eastAsia"/>
        </w:rPr>
        <w:t>设计“信任建立期”，以小规模合作作为测试期，逐步加深合作深度。</w:t>
      </w:r>
    </w:p>
    <w:p w14:paraId="0EA0F0AD">
      <w:pPr>
        <w:pStyle w:val="6"/>
        <w:spacing w:before="120" w:after="120"/>
        <w:ind w:left="0"/>
      </w:pPr>
      <w:r>
        <w:rPr>
          <w:rFonts w:hint="eastAsia"/>
        </w:rPr>
        <w:t>推动行为层面的信任积累</w:t>
      </w:r>
    </w:p>
    <w:p w14:paraId="4F3DCC80">
      <w:pPr>
        <w:pStyle w:val="168"/>
      </w:pPr>
      <w:r>
        <w:rPr>
          <w:rFonts w:hint="eastAsia"/>
        </w:rPr>
        <w:t>鼓励企业内部设立承诺兑现跟踪表，记录对合作方的每项承诺、兑现时间与履约质量。</w:t>
      </w:r>
    </w:p>
    <w:p w14:paraId="10DB386C">
      <w:pPr>
        <w:pStyle w:val="168"/>
      </w:pPr>
      <w:r>
        <w:rPr>
          <w:rFonts w:hint="eastAsia"/>
        </w:rPr>
        <w:t>在合作平台上公开透明显示关键节点完成情况，例如，发货、结算、反馈等，通过数据支撑信任。</w:t>
      </w:r>
    </w:p>
    <w:p w14:paraId="45104C9E">
      <w:pPr>
        <w:pStyle w:val="168"/>
      </w:pPr>
      <w:r>
        <w:rPr>
          <w:rFonts w:hint="eastAsia"/>
        </w:rPr>
        <w:t>对给予行为一致性高、反馈积极的合作方，可信合作方标签或优先权。</w:t>
      </w:r>
    </w:p>
    <w:p w14:paraId="5A71DFA4">
      <w:pPr>
        <w:pStyle w:val="6"/>
        <w:spacing w:before="120" w:after="120"/>
        <w:ind w:left="0"/>
      </w:pPr>
      <w:r>
        <w:rPr>
          <w:rFonts w:hint="eastAsia"/>
        </w:rPr>
        <w:t>增强“软承诺”机制</w:t>
      </w:r>
    </w:p>
    <w:p w14:paraId="5D9D719D">
      <w:pPr>
        <w:pStyle w:val="168"/>
      </w:pPr>
      <w:r>
        <w:rPr>
          <w:rFonts w:hint="eastAsia"/>
        </w:rPr>
        <w:t>在正式合同之外，宜签署《合作承诺函》或《联合声明》，强调非财务性、非强制性的合作信念。</w:t>
      </w:r>
    </w:p>
    <w:p w14:paraId="7C1C8878">
      <w:pPr>
        <w:pStyle w:val="168"/>
      </w:pPr>
      <w:r>
        <w:rPr>
          <w:rFonts w:hint="eastAsia"/>
        </w:rPr>
        <w:t>设定信任红线条款，例如，不泄露对方核心数据、不随意更改交期、不推卸责任等。</w:t>
      </w:r>
    </w:p>
    <w:p w14:paraId="0B0A0903">
      <w:pPr>
        <w:pStyle w:val="168"/>
      </w:pPr>
      <w:r>
        <w:rPr>
          <w:rFonts w:hint="eastAsia"/>
        </w:rPr>
        <w:t>推动领导层在公开场合宣示长期合作承诺，增强信任感。</w:t>
      </w:r>
    </w:p>
    <w:p w14:paraId="1B0878E8">
      <w:pPr>
        <w:pStyle w:val="6"/>
        <w:spacing w:before="120" w:after="120"/>
        <w:ind w:left="0"/>
      </w:pPr>
      <w:r>
        <w:rPr>
          <w:rFonts w:hint="eastAsia"/>
        </w:rPr>
        <w:t>预防和应对信任破裂风险</w:t>
      </w:r>
    </w:p>
    <w:p w14:paraId="2F131454">
      <w:pPr>
        <w:pStyle w:val="168"/>
      </w:pPr>
      <w:r>
        <w:rPr>
          <w:rFonts w:hint="eastAsia"/>
        </w:rPr>
        <w:t>构建信任敏感事件识别机制，以下行为可被标记为信任预警：</w:t>
      </w:r>
    </w:p>
    <w:p w14:paraId="09FFAF43">
      <w:pPr>
        <w:pStyle w:val="136"/>
        <w:tabs>
          <w:tab w:val="clear" w:pos="1276"/>
        </w:tabs>
        <w:ind w:left="851"/>
      </w:pPr>
      <w:r>
        <w:rPr>
          <w:rFonts w:hint="eastAsia"/>
        </w:rPr>
        <w:t>关键问题隐瞒不报；</w:t>
      </w:r>
    </w:p>
    <w:p w14:paraId="30F36187">
      <w:pPr>
        <w:pStyle w:val="136"/>
        <w:tabs>
          <w:tab w:val="clear" w:pos="1276"/>
        </w:tabs>
        <w:ind w:left="851"/>
      </w:pPr>
      <w:r>
        <w:rPr>
          <w:rFonts w:hint="eastAsia"/>
        </w:rPr>
        <w:t>一再推迟履约无解释；</w:t>
      </w:r>
    </w:p>
    <w:p w14:paraId="03F136C3">
      <w:pPr>
        <w:pStyle w:val="136"/>
        <w:tabs>
          <w:tab w:val="clear" w:pos="1276"/>
        </w:tabs>
        <w:ind w:left="851"/>
      </w:pPr>
      <w:r>
        <w:rPr>
          <w:rFonts w:hint="eastAsia"/>
        </w:rPr>
        <w:t>合作反馈迟滞或回避。</w:t>
      </w:r>
    </w:p>
    <w:p w14:paraId="57CE8B97">
      <w:pPr>
        <w:pStyle w:val="168"/>
      </w:pPr>
      <w:r>
        <w:rPr>
          <w:rFonts w:hint="eastAsia"/>
        </w:rPr>
        <w:t>设置信任修复流程，当出现信任裂痕时，可由合作方或第三方，通过问题澄清、意图对话、补偿建议等流程和方式修复信任关系。</w:t>
      </w:r>
    </w:p>
    <w:p w14:paraId="5D38FB9C">
      <w:pPr>
        <w:pStyle w:val="6"/>
        <w:spacing w:before="120" w:after="120"/>
        <w:ind w:left="0"/>
      </w:pPr>
      <w:r>
        <w:rPr>
          <w:rFonts w:hint="eastAsia"/>
        </w:rPr>
        <w:t>激励履约与互信行为</w:t>
      </w:r>
    </w:p>
    <w:p w14:paraId="6E198AA0">
      <w:pPr>
        <w:pStyle w:val="168"/>
      </w:pPr>
      <w:r>
        <w:rPr>
          <w:rFonts w:hint="eastAsia"/>
        </w:rPr>
        <w:t>设计信任积分机制，记录合作中如实沟通、主动共享、跨界支持等行为，并与合作排名、回报机制绑定。</w:t>
      </w:r>
    </w:p>
    <w:p w14:paraId="64E81F19">
      <w:pPr>
        <w:pStyle w:val="168"/>
      </w:pPr>
      <w:r>
        <w:rPr>
          <w:rFonts w:hint="eastAsia"/>
        </w:rPr>
        <w:t>对履约良好的合作方，提升其在下轮合作中的优先等级。</w:t>
      </w:r>
    </w:p>
    <w:p w14:paraId="23D61CC9">
      <w:pPr>
        <w:pStyle w:val="168"/>
      </w:pPr>
      <w:r>
        <w:rPr>
          <w:rFonts w:hint="eastAsia"/>
        </w:rPr>
        <w:t>鼓励公开表彰可信合作行为，例如，颁发“最具承诺合作伙伴奖”。</w:t>
      </w:r>
    </w:p>
    <w:p w14:paraId="681B00BE">
      <w:pPr>
        <w:pStyle w:val="6"/>
        <w:spacing w:before="120" w:after="120"/>
        <w:ind w:left="0"/>
      </w:pPr>
      <w:r>
        <w:rPr>
          <w:rFonts w:hint="eastAsia"/>
        </w:rPr>
        <w:t>构建长期合作框架，稳定承诺基础</w:t>
      </w:r>
    </w:p>
    <w:p w14:paraId="6EF85BED">
      <w:pPr>
        <w:pStyle w:val="168"/>
      </w:pPr>
      <w:r>
        <w:rPr>
          <w:rFonts w:hint="eastAsia"/>
        </w:rPr>
        <w:t>针对可持续合作项目，签署《长期合作框架协议》，设定阶段性目标、激励机制与退出路径。</w:t>
      </w:r>
    </w:p>
    <w:p w14:paraId="48EB8A4F">
      <w:pPr>
        <w:pStyle w:val="168"/>
      </w:pPr>
      <w:r>
        <w:rPr>
          <w:rFonts w:hint="eastAsia"/>
        </w:rPr>
        <w:t>推动在合同中嵌入“逐步深化机制”，使合作规模、共享数据层级、开放程度随合作信用等级提升。</w:t>
      </w:r>
    </w:p>
    <w:p w14:paraId="3CC5B40B">
      <w:pPr>
        <w:pStyle w:val="168"/>
      </w:pPr>
      <w:r>
        <w:rPr>
          <w:rFonts w:hint="eastAsia"/>
        </w:rPr>
        <w:t>通过定期沟通交流信任感变化、疑虑点和信任再确认建议。</w:t>
      </w:r>
    </w:p>
    <w:p w14:paraId="635D7B64">
      <w:pPr>
        <w:pStyle w:val="3"/>
        <w:spacing w:before="240" w:after="240"/>
        <w:ind w:left="0"/>
      </w:pPr>
      <w:bookmarkStart w:id="67" w:name="_Toc203036640"/>
      <w:r>
        <w:rPr>
          <w:rFonts w:hint="eastAsia"/>
        </w:rPr>
        <w:t>价值创造</w:t>
      </w:r>
      <w:bookmarkEnd w:id="67"/>
    </w:p>
    <w:p w14:paraId="58289BE2">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2F168AFA">
      <w:pPr>
        <w:pStyle w:val="6"/>
        <w:spacing w:before="0" w:beforeLines="0" w:after="0" w:afterLines="0"/>
        <w:ind w:left="0"/>
        <w:rPr>
          <w:rFonts w:hint="eastAsia" w:ascii="宋体" w:hAnsi="宋体" w:eastAsia="宋体"/>
        </w:rPr>
      </w:pPr>
      <w:r>
        <w:rPr>
          <w:rFonts w:hint="eastAsia" w:ascii="宋体" w:hAnsi="宋体" w:eastAsia="宋体"/>
        </w:rPr>
        <w:t>价值创造是指合作不仅满足原有需求，更能通过联合设计、资源互补、流程优化等方式带来新增的市场机会、效率提升或成本节约。</w:t>
      </w:r>
    </w:p>
    <w:p w14:paraId="0F6839EB">
      <w:pPr>
        <w:pStyle w:val="6"/>
        <w:spacing w:before="0" w:beforeLines="0" w:after="0" w:afterLines="0"/>
        <w:ind w:left="0"/>
        <w:rPr>
          <w:rFonts w:hint="eastAsia" w:ascii="宋体" w:hAnsi="宋体" w:eastAsia="宋体"/>
        </w:rPr>
      </w:pPr>
      <w:r>
        <w:rPr>
          <w:rFonts w:hint="eastAsia" w:ascii="宋体" w:hAnsi="宋体" w:eastAsia="宋体"/>
        </w:rPr>
        <w:t>对所有合作方来说，若合作不能创造新价值，将陷入“交易关系”，难以持续深化：</w:t>
      </w:r>
    </w:p>
    <w:p w14:paraId="5FEA70D3">
      <w:pPr>
        <w:pStyle w:val="136"/>
        <w:tabs>
          <w:tab w:val="clear" w:pos="1276"/>
        </w:tabs>
        <w:ind w:left="851"/>
      </w:pPr>
      <w:r>
        <w:rPr>
          <w:rFonts w:hint="eastAsia"/>
        </w:rPr>
        <w:t>链主企业可借助合作获得快速创新、供应稳定性或市场拓展；</w:t>
      </w:r>
    </w:p>
    <w:p w14:paraId="6ED35930">
      <w:pPr>
        <w:pStyle w:val="136"/>
        <w:tabs>
          <w:tab w:val="clear" w:pos="1276"/>
        </w:tabs>
        <w:ind w:left="851"/>
      </w:pPr>
      <w:r>
        <w:rPr>
          <w:rFonts w:hint="eastAsia"/>
        </w:rPr>
        <w:t>上游企业通过与客户协同开发形成技术壁垒或战略绑定；</w:t>
      </w:r>
    </w:p>
    <w:p w14:paraId="4EA276E6">
      <w:pPr>
        <w:pStyle w:val="136"/>
        <w:tabs>
          <w:tab w:val="clear" w:pos="1276"/>
        </w:tabs>
        <w:ind w:left="851"/>
      </w:pPr>
      <w:r>
        <w:rPr>
          <w:rFonts w:hint="eastAsia"/>
        </w:rPr>
        <w:t>中游企业通过与上下游企业的合作，能够优化生产流程、提升产品质量、降低生产成本，并通过协同创新开发新产品；</w:t>
      </w:r>
    </w:p>
    <w:p w14:paraId="5B7C41AC">
      <w:pPr>
        <w:pStyle w:val="136"/>
        <w:tabs>
          <w:tab w:val="clear" w:pos="1276"/>
        </w:tabs>
        <w:ind w:left="851"/>
      </w:pPr>
      <w:r>
        <w:rPr>
          <w:rFonts w:hint="eastAsia"/>
        </w:rPr>
        <w:t>下游企业可获得更具竞争力的产品与服务、提升客户黏性。</w:t>
      </w:r>
    </w:p>
    <w:p w14:paraId="28F11DA5">
      <w:pPr>
        <w:pStyle w:val="6"/>
        <w:spacing w:before="0" w:beforeLines="0" w:after="0" w:afterLines="0"/>
        <w:ind w:left="0"/>
        <w:rPr>
          <w:rFonts w:hint="eastAsia" w:ascii="宋体" w:hAnsi="宋体" w:eastAsia="宋体"/>
        </w:rPr>
      </w:pPr>
      <w:r>
        <w:rPr>
          <w:rFonts w:hint="eastAsia" w:ascii="宋体" w:hAnsi="宋体" w:eastAsia="宋体"/>
        </w:rPr>
        <w:t>在供应链合作中，价值创造不仅体现在成本降低与交付效率上，还包括协同创新、品牌协作、市场机会共享等多维收益。企业宜按照13.2系统实施本原则。</w:t>
      </w:r>
    </w:p>
    <w:p w14:paraId="450B1609">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3A337EC9">
      <w:pPr>
        <w:pStyle w:val="6"/>
        <w:spacing w:before="120" w:after="120"/>
        <w:ind w:left="0"/>
      </w:pPr>
      <w:r>
        <w:rPr>
          <w:rFonts w:hint="eastAsia"/>
        </w:rPr>
        <w:t>共建“价值地图”</w:t>
      </w:r>
    </w:p>
    <w:p w14:paraId="6493CA19">
      <w:pPr>
        <w:pStyle w:val="168"/>
      </w:pPr>
      <w:r>
        <w:rPr>
          <w:rFonts w:hint="eastAsia"/>
        </w:rPr>
        <w:t>在合作启动阶段，识别以下三类价值：</w:t>
      </w:r>
    </w:p>
    <w:p w14:paraId="14BCFC33">
      <w:pPr>
        <w:pStyle w:val="136"/>
        <w:tabs>
          <w:tab w:val="clear" w:pos="1276"/>
        </w:tabs>
        <w:ind w:left="851"/>
      </w:pPr>
      <w:r>
        <w:rPr>
          <w:rFonts w:hint="eastAsia"/>
        </w:rPr>
        <w:t>运营价值，例如，成本降低、效率提升、风险控制等；</w:t>
      </w:r>
    </w:p>
    <w:p w14:paraId="3123DF35">
      <w:pPr>
        <w:pStyle w:val="136"/>
        <w:tabs>
          <w:tab w:val="clear" w:pos="1276"/>
        </w:tabs>
        <w:ind w:left="851"/>
      </w:pPr>
      <w:r>
        <w:rPr>
          <w:rFonts w:hint="eastAsia"/>
        </w:rPr>
        <w:t>市场价值，例如，销售增长、市场拓展、客户黏性提升等；</w:t>
      </w:r>
    </w:p>
    <w:p w14:paraId="4836D450">
      <w:pPr>
        <w:pStyle w:val="136"/>
        <w:tabs>
          <w:tab w:val="clear" w:pos="1276"/>
        </w:tabs>
        <w:ind w:left="851"/>
      </w:pPr>
      <w:r>
        <w:rPr>
          <w:rFonts w:hint="eastAsia"/>
        </w:rPr>
        <w:t>战略价值，例如，联合品牌影响力、技术突破、社会责任达成等。</w:t>
      </w:r>
    </w:p>
    <w:p w14:paraId="7BC06AA4">
      <w:pPr>
        <w:pStyle w:val="168"/>
      </w:pPr>
      <w:r>
        <w:rPr>
          <w:rFonts w:hint="eastAsia"/>
        </w:rPr>
        <w:t>利用“供应链价值共创画布”或“利益相关者影响图”等工具，帮助各方明确价值交集与互补区。</w:t>
      </w:r>
    </w:p>
    <w:p w14:paraId="1FC802E7">
      <w:pPr>
        <w:pStyle w:val="6"/>
        <w:spacing w:before="120" w:after="120"/>
        <w:ind w:left="0"/>
      </w:pPr>
      <w:r>
        <w:rPr>
          <w:rFonts w:hint="eastAsia"/>
        </w:rPr>
        <w:t>协同开发新产品/服务/模式</w:t>
      </w:r>
    </w:p>
    <w:p w14:paraId="57240BFE">
      <w:pPr>
        <w:pStyle w:val="168"/>
      </w:pPr>
      <w:r>
        <w:rPr>
          <w:rFonts w:hint="eastAsia"/>
        </w:rPr>
        <w:t>鼓励合作方基于各自核心能力形成联合创新机制：</w:t>
      </w:r>
    </w:p>
    <w:p w14:paraId="649D5B21">
      <w:pPr>
        <w:pStyle w:val="136"/>
        <w:tabs>
          <w:tab w:val="clear" w:pos="1276"/>
        </w:tabs>
        <w:ind w:left="851"/>
      </w:pPr>
      <w:r>
        <w:rPr>
          <w:rFonts w:hint="eastAsia"/>
        </w:rPr>
        <w:t>链主企业整合方案和平台资源；</w:t>
      </w:r>
    </w:p>
    <w:p w14:paraId="1CECF255">
      <w:pPr>
        <w:pStyle w:val="136"/>
        <w:tabs>
          <w:tab w:val="clear" w:pos="1276"/>
        </w:tabs>
        <w:ind w:left="851"/>
      </w:pPr>
      <w:r>
        <w:rPr>
          <w:rFonts w:hint="eastAsia"/>
        </w:rPr>
        <w:t>上游企业提供前沿材料或技术；</w:t>
      </w:r>
    </w:p>
    <w:p w14:paraId="242249C8">
      <w:pPr>
        <w:pStyle w:val="136"/>
        <w:tabs>
          <w:tab w:val="clear" w:pos="1276"/>
        </w:tabs>
        <w:ind w:left="851"/>
      </w:pPr>
      <w:r>
        <w:rPr>
          <w:rFonts w:hint="eastAsia"/>
        </w:rPr>
        <w:t>中游企业提供高质量的产品；</w:t>
      </w:r>
    </w:p>
    <w:p w14:paraId="6D69DE31">
      <w:pPr>
        <w:pStyle w:val="136"/>
        <w:tabs>
          <w:tab w:val="clear" w:pos="1276"/>
        </w:tabs>
        <w:ind w:left="851"/>
      </w:pPr>
      <w:r>
        <w:rPr>
          <w:rFonts w:hint="eastAsia"/>
        </w:rPr>
        <w:t>下游企业提供用户数据和场景反馈。</w:t>
      </w:r>
    </w:p>
    <w:p w14:paraId="117DFA1C">
      <w:pPr>
        <w:pStyle w:val="168"/>
      </w:pPr>
      <w:r>
        <w:rPr>
          <w:rFonts w:hint="eastAsia"/>
        </w:rPr>
        <w:t>联合设立联合创新小组或共研共创平台，推动快速试验、迭代优化。</w:t>
      </w:r>
    </w:p>
    <w:p w14:paraId="37BC1637">
      <w:pPr>
        <w:pStyle w:val="168"/>
      </w:pPr>
      <w:r>
        <w:rPr>
          <w:rFonts w:hint="eastAsia"/>
        </w:rPr>
        <w:t>明确联合开发的知识产权归属、收益分配与市场投放路径。</w:t>
      </w:r>
    </w:p>
    <w:p w14:paraId="45AD18F7">
      <w:pPr>
        <w:pStyle w:val="6"/>
        <w:spacing w:before="120" w:after="120"/>
        <w:ind w:left="0"/>
      </w:pPr>
      <w:r>
        <w:rPr>
          <w:rFonts w:hint="eastAsia"/>
        </w:rPr>
        <w:t>推进共享收益机制</w:t>
      </w:r>
    </w:p>
    <w:p w14:paraId="1CA3A588">
      <w:pPr>
        <w:pStyle w:val="168"/>
      </w:pPr>
      <w:r>
        <w:rPr>
          <w:rFonts w:hint="eastAsia"/>
        </w:rPr>
        <w:t>对因合作产生的新市场、新订单或效率节约，可建立共享收益核算机制：</w:t>
      </w:r>
    </w:p>
    <w:p w14:paraId="4D12182A">
      <w:pPr>
        <w:pStyle w:val="136"/>
        <w:tabs>
          <w:tab w:val="clear" w:pos="1276"/>
        </w:tabs>
        <w:ind w:left="851"/>
      </w:pPr>
      <w:r>
        <w:rPr>
          <w:rFonts w:hint="eastAsia"/>
        </w:rPr>
        <w:t>按贡献比例分配；</w:t>
      </w:r>
    </w:p>
    <w:p w14:paraId="4A35E138">
      <w:pPr>
        <w:pStyle w:val="136"/>
        <w:tabs>
          <w:tab w:val="clear" w:pos="1276"/>
        </w:tabs>
        <w:ind w:left="851"/>
      </w:pPr>
      <w:r>
        <w:rPr>
          <w:rFonts w:hint="eastAsia"/>
        </w:rPr>
        <w:t>采用“成果激励池”结合“表现评价”分配。</w:t>
      </w:r>
    </w:p>
    <w:p w14:paraId="02225A7E">
      <w:pPr>
        <w:pStyle w:val="168"/>
      </w:pPr>
      <w:r>
        <w:rPr>
          <w:rFonts w:hint="eastAsia"/>
        </w:rPr>
        <w:t>设计共创项目激励制度，例如，订单返点、研发补贴、渠道共享、品牌联署等。</w:t>
      </w:r>
    </w:p>
    <w:p w14:paraId="7AF6503D">
      <w:pPr>
        <w:pStyle w:val="6"/>
        <w:spacing w:before="120" w:after="120"/>
        <w:ind w:left="0"/>
      </w:pPr>
      <w:r>
        <w:rPr>
          <w:rFonts w:hint="eastAsia"/>
        </w:rPr>
        <w:t>引入联合价值评价系统</w:t>
      </w:r>
    </w:p>
    <w:p w14:paraId="6A2B948D">
      <w:pPr>
        <w:pStyle w:val="168"/>
      </w:pPr>
      <w:r>
        <w:rPr>
          <w:rFonts w:hint="eastAsia"/>
        </w:rPr>
        <w:t>建立合作成果的多维价值指标体系，包括但不限于成本节约额、营收提升量、客户满意度提升幅度、碳减排量、ESG评级。</w:t>
      </w:r>
    </w:p>
    <w:p w14:paraId="77440D8C">
      <w:pPr>
        <w:pStyle w:val="168"/>
      </w:pPr>
      <w:r>
        <w:rPr>
          <w:rFonts w:hint="eastAsia"/>
        </w:rPr>
        <w:t>定期召开价值回顾会，对照指标评估合作成效并优化合作方向。</w:t>
      </w:r>
    </w:p>
    <w:p w14:paraId="08C8BD82">
      <w:pPr>
        <w:pStyle w:val="6"/>
        <w:spacing w:before="120" w:after="120"/>
        <w:ind w:left="0"/>
      </w:pPr>
      <w:r>
        <w:rPr>
          <w:rFonts w:hint="eastAsia"/>
        </w:rPr>
        <w:t>打造价值共识文化</w:t>
      </w:r>
    </w:p>
    <w:p w14:paraId="181ACB44">
      <w:pPr>
        <w:pStyle w:val="168"/>
      </w:pPr>
      <w:r>
        <w:rPr>
          <w:rFonts w:hint="eastAsia"/>
        </w:rPr>
        <w:t>在合作文化宣传中强化“共创共赢”理念，减少“交易心态”。</w:t>
      </w:r>
    </w:p>
    <w:p w14:paraId="56F4BB88">
      <w:pPr>
        <w:pStyle w:val="168"/>
      </w:pPr>
      <w:r>
        <w:rPr>
          <w:rFonts w:hint="eastAsia"/>
        </w:rPr>
        <w:t>联合设立价值共创奖，表彰对共同成果有突出贡献的团队或个体。</w:t>
      </w:r>
    </w:p>
    <w:p w14:paraId="5D181075">
      <w:pPr>
        <w:pStyle w:val="168"/>
      </w:pPr>
      <w:r>
        <w:rPr>
          <w:rFonts w:hint="eastAsia"/>
        </w:rPr>
        <w:t>编撰《合作共赢案例集》，内外部共享成功实践，树立合作信心。</w:t>
      </w:r>
    </w:p>
    <w:p w14:paraId="7F3C2D65">
      <w:pPr>
        <w:pStyle w:val="6"/>
        <w:spacing w:before="120" w:after="120"/>
        <w:ind w:left="0"/>
      </w:pPr>
      <w:r>
        <w:rPr>
          <w:rFonts w:hint="eastAsia"/>
        </w:rPr>
        <w:t>以价值为导向的长期合作机制</w:t>
      </w:r>
    </w:p>
    <w:p w14:paraId="42A6742D">
      <w:pPr>
        <w:pStyle w:val="168"/>
      </w:pPr>
      <w:r>
        <w:rPr>
          <w:rFonts w:hint="eastAsia"/>
        </w:rPr>
        <w:t>将合作价值增长纳入战略规划，按照“信任建立、价值扩展、协同创新”层级阶段，逐步推进。</w:t>
      </w:r>
    </w:p>
    <w:p w14:paraId="06C3BF30">
      <w:pPr>
        <w:pStyle w:val="168"/>
      </w:pPr>
      <w:r>
        <w:rPr>
          <w:rFonts w:hint="eastAsia"/>
        </w:rPr>
        <w:t>鼓励签署《价值合作协议》或《联合市场发展协议》，推动价值链共振。</w:t>
      </w:r>
    </w:p>
    <w:p w14:paraId="5E92FA22">
      <w:pPr>
        <w:pStyle w:val="168"/>
      </w:pPr>
      <w:r>
        <w:rPr>
          <w:rFonts w:hint="eastAsia"/>
        </w:rPr>
        <w:t>探索从“产品型合作”走向“服务型合作”与“平台型合作”，提高合作价值密度与延展性。</w:t>
      </w:r>
    </w:p>
    <w:p w14:paraId="1453A2B1">
      <w:pPr>
        <w:pStyle w:val="3"/>
        <w:spacing w:before="240" w:after="240"/>
        <w:ind w:left="0"/>
      </w:pPr>
      <w:bookmarkStart w:id="68" w:name="_Toc203036641"/>
      <w:r>
        <w:rPr>
          <w:rFonts w:hint="eastAsia"/>
        </w:rPr>
        <w:t>信息和知识共享</w:t>
      </w:r>
      <w:bookmarkEnd w:id="68"/>
    </w:p>
    <w:p w14:paraId="3CF9FF5D">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5B21C926">
      <w:pPr>
        <w:pStyle w:val="6"/>
        <w:spacing w:before="0" w:beforeLines="0" w:after="0" w:afterLines="0"/>
        <w:ind w:left="0"/>
        <w:rPr>
          <w:rFonts w:hint="eastAsia" w:ascii="宋体" w:hAnsi="宋体" w:eastAsia="宋体"/>
        </w:rPr>
      </w:pPr>
      <w:r>
        <w:rPr>
          <w:rFonts w:hint="eastAsia" w:ascii="宋体" w:hAnsi="宋体" w:eastAsia="宋体"/>
        </w:rPr>
        <w:t>信息与知识共享是指在确保保密性前提下，合作方之间及时、准确、透明地共享必要的数据、经验与洞察，以支持协同决策、问题解决和持续改进。</w:t>
      </w:r>
    </w:p>
    <w:p w14:paraId="3A2EADF1">
      <w:pPr>
        <w:pStyle w:val="6"/>
        <w:spacing w:before="0" w:beforeLines="0" w:after="0" w:afterLines="0"/>
        <w:ind w:left="0"/>
        <w:rPr>
          <w:rFonts w:hint="eastAsia" w:ascii="宋体" w:hAnsi="宋体" w:eastAsia="宋体"/>
        </w:rPr>
      </w:pPr>
      <w:r>
        <w:rPr>
          <w:rFonts w:hint="eastAsia" w:ascii="宋体" w:hAnsi="宋体" w:eastAsia="宋体"/>
        </w:rPr>
        <w:t>通过共享生产过程中的知识和经验，能够提升整个供应链的协同效率，减少重复劳动和风险。若信息共享不足，将导致反应迟滞、重复劳动、风险加剧：</w:t>
      </w:r>
    </w:p>
    <w:p w14:paraId="0B998704">
      <w:pPr>
        <w:pStyle w:val="136"/>
        <w:tabs>
          <w:tab w:val="clear" w:pos="1276"/>
        </w:tabs>
        <w:ind w:left="851"/>
      </w:pPr>
      <w:r>
        <w:rPr>
          <w:rFonts w:hint="eastAsia"/>
        </w:rPr>
        <w:t>链主企业需要实时掌握供应进度、质量问题与市场反馈；</w:t>
      </w:r>
    </w:p>
    <w:p w14:paraId="0720CC78">
      <w:pPr>
        <w:pStyle w:val="136"/>
        <w:tabs>
          <w:tab w:val="clear" w:pos="1276"/>
        </w:tabs>
        <w:ind w:left="851"/>
      </w:pPr>
      <w:r>
        <w:rPr>
          <w:rFonts w:hint="eastAsia"/>
        </w:rPr>
        <w:t>上游企业需获取准确订单预测、需求变化与设计要求；</w:t>
      </w:r>
    </w:p>
    <w:p w14:paraId="3FCF67ED">
      <w:pPr>
        <w:pStyle w:val="136"/>
        <w:tabs>
          <w:tab w:val="clear" w:pos="1276"/>
        </w:tabs>
        <w:ind w:left="851"/>
      </w:pPr>
      <w:r>
        <w:rPr>
          <w:rFonts w:hint="eastAsia"/>
        </w:rPr>
        <w:t>中游企业需要及时获取上游的原材料供应信息和下游的市场需求信息，以便优化生产计划、调整生产进度、提升产品质量；</w:t>
      </w:r>
    </w:p>
    <w:p w14:paraId="57A4761A">
      <w:pPr>
        <w:pStyle w:val="136"/>
        <w:tabs>
          <w:tab w:val="clear" w:pos="1276"/>
        </w:tabs>
        <w:ind w:left="851"/>
      </w:pPr>
      <w:r>
        <w:rPr>
          <w:rFonts w:hint="eastAsia"/>
        </w:rPr>
        <w:t>下游企业需要了解产品特性、服务规范与变更说明。</w:t>
      </w:r>
    </w:p>
    <w:p w14:paraId="5DC659F7">
      <w:pPr>
        <w:pStyle w:val="6"/>
        <w:spacing w:before="0" w:beforeLines="0" w:after="0" w:afterLines="0"/>
        <w:ind w:left="0"/>
        <w:rPr>
          <w:rFonts w:hint="eastAsia" w:ascii="宋体" w:hAnsi="宋体" w:eastAsia="宋体"/>
        </w:rPr>
      </w:pPr>
      <w:r>
        <w:rPr>
          <w:rFonts w:hint="eastAsia" w:ascii="宋体" w:hAnsi="宋体" w:eastAsia="宋体"/>
        </w:rPr>
        <w:t>链主企业处于产业链枢纽地位，最具条件与责任去打通上下游数据孤岛、推动知识流动，构建高信任、低摩擦的共享生态。链主企业宜按照14.2牵头和引导上下游企业推动信息与知识共享。</w:t>
      </w:r>
    </w:p>
    <w:p w14:paraId="1D764800">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347E9D78">
      <w:pPr>
        <w:pStyle w:val="6"/>
        <w:spacing w:before="120" w:after="120"/>
        <w:ind w:left="0"/>
      </w:pPr>
      <w:r>
        <w:rPr>
          <w:rFonts w:hint="eastAsia"/>
        </w:rPr>
        <w:t>构建共享导向的合作架构</w:t>
      </w:r>
    </w:p>
    <w:p w14:paraId="786BE553">
      <w:pPr>
        <w:pStyle w:val="168"/>
      </w:pPr>
      <w:r>
        <w:rPr>
          <w:rFonts w:hint="eastAsia"/>
        </w:rPr>
        <w:t>链主企业牵头在合作机制中设立共享协调机制或数据治理小组，并联合上下游关键角色组成，确保各方及时获取相关信息，增强供应链的响应速度和决策能力。</w:t>
      </w:r>
    </w:p>
    <w:p w14:paraId="5E498E19">
      <w:pPr>
        <w:pStyle w:val="168"/>
      </w:pPr>
      <w:r>
        <w:rPr>
          <w:rFonts w:hint="eastAsia"/>
        </w:rPr>
        <w:t>合作方宜将信息共享作为合作绩效的重要内容，写入框架协议与项目实施细则。</w:t>
      </w:r>
    </w:p>
    <w:p w14:paraId="2EFEDE2A">
      <w:pPr>
        <w:pStyle w:val="168"/>
      </w:pPr>
      <w:r>
        <w:rPr>
          <w:rFonts w:hint="eastAsia"/>
        </w:rPr>
        <w:t>明确共享内容范围、频率、格式与保密义务，减少模糊地带与责任争议。</w:t>
      </w:r>
    </w:p>
    <w:p w14:paraId="029DCA0D">
      <w:pPr>
        <w:pStyle w:val="6"/>
        <w:spacing w:before="120" w:after="120"/>
        <w:ind w:left="0"/>
      </w:pPr>
      <w:r>
        <w:rPr>
          <w:rFonts w:hint="eastAsia"/>
        </w:rPr>
        <w:t>分类建立共享内容清单</w:t>
      </w:r>
    </w:p>
    <w:p w14:paraId="7A5D1190">
      <w:pPr>
        <w:pStyle w:val="168"/>
      </w:pPr>
      <w:r>
        <w:rPr>
          <w:rFonts w:hint="eastAsia"/>
        </w:rPr>
        <w:t>制定信息与知识分类共享清单，包括但不限于：</w:t>
      </w:r>
    </w:p>
    <w:p w14:paraId="5F77AE09">
      <w:pPr>
        <w:pStyle w:val="136"/>
        <w:tabs>
          <w:tab w:val="clear" w:pos="1276"/>
        </w:tabs>
        <w:ind w:left="851"/>
      </w:pPr>
      <w:r>
        <w:rPr>
          <w:rFonts w:hint="eastAsia"/>
        </w:rPr>
        <w:t>业务运营信息，例如，预测数据、排产计划、订单状态、物流节点；</w:t>
      </w:r>
    </w:p>
    <w:p w14:paraId="0D5C6F42">
      <w:pPr>
        <w:pStyle w:val="136"/>
        <w:tabs>
          <w:tab w:val="clear" w:pos="1276"/>
        </w:tabs>
        <w:ind w:left="851"/>
      </w:pPr>
      <w:r>
        <w:rPr>
          <w:rFonts w:hint="eastAsia"/>
        </w:rPr>
        <w:t>产品与服务信息，例如，技术参数、检测标准、维修数据、用户评价；</w:t>
      </w:r>
    </w:p>
    <w:p w14:paraId="2E24DE3E">
      <w:pPr>
        <w:pStyle w:val="136"/>
        <w:tabs>
          <w:tab w:val="clear" w:pos="1276"/>
        </w:tabs>
        <w:ind w:left="851"/>
      </w:pPr>
      <w:r>
        <w:rPr>
          <w:rFonts w:hint="eastAsia"/>
        </w:rPr>
        <w:t>知识与经验类信息，例如，质量控制方法、流程改进经验、市场趋势判断。</w:t>
      </w:r>
    </w:p>
    <w:p w14:paraId="4B9ED9C6">
      <w:pPr>
        <w:pStyle w:val="168"/>
      </w:pPr>
      <w:r>
        <w:rPr>
          <w:rFonts w:hint="eastAsia"/>
        </w:rPr>
        <w:t>区分“通用共享”、“授权共享”和“协同开发型共享”三种级别，确保安全与效益平衡。</w:t>
      </w:r>
    </w:p>
    <w:p w14:paraId="28155ED1">
      <w:pPr>
        <w:pStyle w:val="6"/>
        <w:spacing w:before="120" w:after="120"/>
        <w:ind w:left="0"/>
      </w:pPr>
      <w:r>
        <w:rPr>
          <w:rFonts w:hint="eastAsia"/>
        </w:rPr>
        <w:t>部署共享平台与工具</w:t>
      </w:r>
    </w:p>
    <w:p w14:paraId="56E34241">
      <w:pPr>
        <w:pStyle w:val="168"/>
      </w:pPr>
      <w:r>
        <w:rPr>
          <w:rFonts w:hint="eastAsia"/>
        </w:rPr>
        <w:t>链主企业宜牵头搭建数据中台、协同门户或供应链管理平台，集中管理和分发数据。</w:t>
      </w:r>
    </w:p>
    <w:p w14:paraId="68C07952">
      <w:pPr>
        <w:pStyle w:val="168"/>
      </w:pPr>
      <w:r>
        <w:rPr>
          <w:rFonts w:hint="eastAsia"/>
        </w:rPr>
        <w:t>提供可视化界面，例如，信息看板、业务仪表盘，让上下游企业可实时查看关键数据。</w:t>
      </w:r>
    </w:p>
    <w:p w14:paraId="0A561A76">
      <w:pPr>
        <w:pStyle w:val="168"/>
      </w:pPr>
      <w:r>
        <w:rPr>
          <w:rFonts w:hint="eastAsia"/>
        </w:rPr>
        <w:t>通过API接口、安全通道等技术手段降低信息交换门槛，提升系统互通能力。</w:t>
      </w:r>
    </w:p>
    <w:p w14:paraId="2441C655">
      <w:pPr>
        <w:pStyle w:val="6"/>
        <w:spacing w:before="120" w:after="120"/>
        <w:ind w:left="0"/>
      </w:pPr>
      <w:r>
        <w:rPr>
          <w:rFonts w:hint="eastAsia"/>
        </w:rPr>
        <w:t>推动关键节点的信息集成共享</w:t>
      </w:r>
    </w:p>
    <w:p w14:paraId="0A627DD4">
      <w:pPr>
        <w:pStyle w:val="168"/>
      </w:pPr>
      <w:r>
        <w:rPr>
          <w:rFonts w:hint="eastAsia"/>
        </w:rPr>
        <w:t>对以下关键节点设定强制共享机制，并由链主企业主导协同发布：</w:t>
      </w:r>
    </w:p>
    <w:p w14:paraId="7F81E469">
      <w:pPr>
        <w:pStyle w:val="136"/>
        <w:tabs>
          <w:tab w:val="clear" w:pos="1276"/>
        </w:tabs>
        <w:ind w:left="851"/>
      </w:pPr>
      <w:r>
        <w:rPr>
          <w:rFonts w:hint="eastAsia"/>
        </w:rPr>
        <w:t>需求预测发布：面向上游发布。</w:t>
      </w:r>
    </w:p>
    <w:p w14:paraId="35248B67">
      <w:pPr>
        <w:pStyle w:val="136"/>
        <w:tabs>
          <w:tab w:val="clear" w:pos="1276"/>
        </w:tabs>
        <w:ind w:left="851"/>
      </w:pPr>
      <w:r>
        <w:rPr>
          <w:rFonts w:hint="eastAsia"/>
        </w:rPr>
        <w:t>实际销售反馈：面向上游与下游发布。</w:t>
      </w:r>
    </w:p>
    <w:p w14:paraId="5604C09D">
      <w:pPr>
        <w:pStyle w:val="136"/>
        <w:tabs>
          <w:tab w:val="clear" w:pos="1276"/>
        </w:tabs>
        <w:ind w:left="851"/>
      </w:pPr>
      <w:r>
        <w:rPr>
          <w:rFonts w:hint="eastAsia"/>
        </w:rPr>
        <w:t>质量异常通报：面向上游与下游发布。</w:t>
      </w:r>
    </w:p>
    <w:p w14:paraId="0F5E2AD8">
      <w:pPr>
        <w:pStyle w:val="136"/>
        <w:tabs>
          <w:tab w:val="clear" w:pos="1276"/>
        </w:tabs>
        <w:ind w:left="851"/>
      </w:pPr>
      <w:r>
        <w:rPr>
          <w:rFonts w:hint="eastAsia"/>
        </w:rPr>
        <w:t>突发风险信息共享，例如，不可抗力、政策变化。</w:t>
      </w:r>
    </w:p>
    <w:p w14:paraId="16B6C036">
      <w:pPr>
        <w:pStyle w:val="168"/>
      </w:pPr>
      <w:r>
        <w:rPr>
          <w:rFonts w:hint="eastAsia"/>
        </w:rPr>
        <w:t>将共享质量作为绩效评价的重要维度，例如，信息滞后率、错误率等。</w:t>
      </w:r>
    </w:p>
    <w:p w14:paraId="7BF88AF1">
      <w:pPr>
        <w:pStyle w:val="6"/>
        <w:spacing w:before="120" w:after="120"/>
        <w:ind w:left="0"/>
      </w:pPr>
      <w:r>
        <w:rPr>
          <w:rFonts w:hint="eastAsia"/>
        </w:rPr>
        <w:t>组织知识共享活动与共创机制</w:t>
      </w:r>
    </w:p>
    <w:p w14:paraId="08F729A7">
      <w:pPr>
        <w:pStyle w:val="168"/>
      </w:pPr>
      <w:r>
        <w:rPr>
          <w:rFonts w:hint="eastAsia"/>
        </w:rPr>
        <w:t>定期召开供应链知识交流会，鼓励现场分享优秀实践和经验教训。</w:t>
      </w:r>
    </w:p>
    <w:p w14:paraId="0D05A6F1">
      <w:pPr>
        <w:pStyle w:val="168"/>
      </w:pPr>
      <w:r>
        <w:rPr>
          <w:rFonts w:hint="eastAsia"/>
        </w:rPr>
        <w:t>发起联合改进或问题共研活动，由链主企业提出议题，联合上下游企业共同解决。</w:t>
      </w:r>
    </w:p>
    <w:p w14:paraId="77F2D68D">
      <w:pPr>
        <w:pStyle w:val="168"/>
      </w:pPr>
      <w:r>
        <w:rPr>
          <w:rFonts w:hint="eastAsia"/>
        </w:rPr>
        <w:t>鼓励将隐性知识显性化，例如，一线操作技巧、客户处理经验，转化为可沉淀文档或视频培训材料。</w:t>
      </w:r>
    </w:p>
    <w:p w14:paraId="3A1DD469">
      <w:pPr>
        <w:pStyle w:val="6"/>
        <w:spacing w:before="120" w:after="120"/>
        <w:ind w:left="0"/>
      </w:pPr>
      <w:r>
        <w:rPr>
          <w:rFonts w:hint="eastAsia"/>
        </w:rPr>
        <w:t>建立共享信任与激励机制</w:t>
      </w:r>
    </w:p>
    <w:p w14:paraId="256A9D48">
      <w:pPr>
        <w:pStyle w:val="168"/>
      </w:pPr>
      <w:r>
        <w:rPr>
          <w:rFonts w:hint="eastAsia"/>
        </w:rPr>
        <w:t>授予主动共享、知识贡献突出的合作方“知识共享优选伙伴”称号或优先合作资格。</w:t>
      </w:r>
    </w:p>
    <w:p w14:paraId="0620A488">
      <w:pPr>
        <w:pStyle w:val="168"/>
      </w:pPr>
      <w:r>
        <w:rPr>
          <w:rFonts w:hint="eastAsia"/>
        </w:rPr>
        <w:t>明确知识产权归属与收益分配规则，消除共享疑虑。</w:t>
      </w:r>
    </w:p>
    <w:p w14:paraId="2B2F2F75">
      <w:pPr>
        <w:pStyle w:val="168"/>
      </w:pPr>
      <w:r>
        <w:rPr>
          <w:rFonts w:hint="eastAsia"/>
        </w:rPr>
        <w:t>鼓励探索“共享积分制”或“协作知识库共建机制”，提升信息和知识共享效能。</w:t>
      </w:r>
    </w:p>
    <w:p w14:paraId="3B3CB59F">
      <w:pPr>
        <w:pStyle w:val="3"/>
        <w:spacing w:before="240" w:after="240"/>
        <w:ind w:left="0"/>
      </w:pPr>
      <w:bookmarkStart w:id="69" w:name="_Toc203036642"/>
      <w:r>
        <w:rPr>
          <w:rFonts w:hint="eastAsia"/>
        </w:rPr>
        <w:t>风险管理</w:t>
      </w:r>
      <w:bookmarkEnd w:id="69"/>
    </w:p>
    <w:p w14:paraId="4EF71A49">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43A153B9">
      <w:pPr>
        <w:pStyle w:val="6"/>
        <w:spacing w:before="0" w:beforeLines="0" w:after="0" w:afterLines="0"/>
        <w:ind w:left="0"/>
        <w:rPr>
          <w:rFonts w:hint="eastAsia" w:ascii="宋体" w:hAnsi="宋体" w:eastAsia="宋体"/>
        </w:rPr>
      </w:pPr>
      <w:r>
        <w:rPr>
          <w:rFonts w:hint="eastAsia" w:ascii="宋体" w:hAnsi="宋体" w:eastAsia="宋体"/>
        </w:rPr>
        <w:t>风险管理是指在合作过程中系统识别、评估和应对可能影响合作成效的各类不确定因素，包括供应风险、法律风险、声誉风险、技术风险等。</w:t>
      </w:r>
    </w:p>
    <w:p w14:paraId="1199AD04">
      <w:pPr>
        <w:pStyle w:val="6"/>
        <w:spacing w:before="0" w:beforeLines="0" w:after="0" w:afterLines="0"/>
        <w:ind w:left="0"/>
        <w:rPr>
          <w:rFonts w:hint="eastAsia" w:ascii="宋体" w:hAnsi="宋体" w:eastAsia="宋体"/>
        </w:rPr>
      </w:pPr>
      <w:r>
        <w:rPr>
          <w:rFonts w:hint="eastAsia" w:ascii="宋体" w:hAnsi="宋体" w:eastAsia="宋体"/>
        </w:rPr>
        <w:t>风险管理不到位会导致成本上升、信任流失甚至法律纠纷：</w:t>
      </w:r>
    </w:p>
    <w:p w14:paraId="0C02DDBE">
      <w:pPr>
        <w:pStyle w:val="136"/>
        <w:tabs>
          <w:tab w:val="clear" w:pos="1276"/>
        </w:tabs>
        <w:ind w:left="851"/>
      </w:pPr>
      <w:r>
        <w:rPr>
          <w:rFonts w:hint="eastAsia"/>
        </w:rPr>
        <w:t>链主企业面临履约、品牌与责任风险；</w:t>
      </w:r>
    </w:p>
    <w:p w14:paraId="02B72CF7">
      <w:pPr>
        <w:pStyle w:val="136"/>
        <w:tabs>
          <w:tab w:val="clear" w:pos="1276"/>
        </w:tabs>
        <w:ind w:left="851"/>
      </w:pPr>
      <w:r>
        <w:rPr>
          <w:rFonts w:hint="eastAsia"/>
        </w:rPr>
        <w:t>上游企业可能受原材料、政策或能力限制影响履约；</w:t>
      </w:r>
    </w:p>
    <w:p w14:paraId="610EB58B">
      <w:pPr>
        <w:pStyle w:val="136"/>
        <w:tabs>
          <w:tab w:val="clear" w:pos="1276"/>
        </w:tabs>
        <w:ind w:left="851"/>
      </w:pPr>
      <w:r>
        <w:rPr>
          <w:rFonts w:hint="eastAsia"/>
        </w:rPr>
        <w:t>中游企业面临多种风险，如原材料供应中断、生产设备故障、质量控制问题等；</w:t>
      </w:r>
    </w:p>
    <w:p w14:paraId="1F61321A">
      <w:pPr>
        <w:pStyle w:val="136"/>
        <w:tabs>
          <w:tab w:val="clear" w:pos="1276"/>
        </w:tabs>
        <w:ind w:left="851"/>
      </w:pPr>
      <w:r>
        <w:rPr>
          <w:rFonts w:hint="eastAsia"/>
        </w:rPr>
        <w:t>下游企业面临服务中断或交付失误将直接影响客户满意度。</w:t>
      </w:r>
    </w:p>
    <w:p w14:paraId="78B8450C">
      <w:pPr>
        <w:pStyle w:val="6"/>
        <w:spacing w:before="0" w:beforeLines="0" w:after="0" w:afterLines="0"/>
        <w:ind w:left="0"/>
        <w:rPr>
          <w:rFonts w:hint="eastAsia" w:ascii="宋体" w:hAnsi="宋体" w:eastAsia="宋体"/>
        </w:rPr>
      </w:pPr>
      <w:r>
        <w:rPr>
          <w:rFonts w:hint="eastAsia" w:ascii="宋体" w:hAnsi="宋体" w:eastAsia="宋体"/>
        </w:rPr>
        <w:t>链主企业作为供应链的核心枢纽，宜主动承担协调责任，按照15.2构建涵盖上游、下游与自身的联动性风险管理体系。</w:t>
      </w:r>
    </w:p>
    <w:p w14:paraId="503DD817">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10ECB551">
      <w:pPr>
        <w:pStyle w:val="6"/>
        <w:spacing w:before="120" w:after="120"/>
        <w:ind w:left="0"/>
      </w:pPr>
      <w:r>
        <w:rPr>
          <w:rFonts w:hint="eastAsia"/>
        </w:rPr>
        <w:t>构建联合风险管理框架</w:t>
      </w:r>
    </w:p>
    <w:p w14:paraId="63F49D72">
      <w:pPr>
        <w:pStyle w:val="168"/>
      </w:pPr>
      <w:r>
        <w:rPr>
          <w:rFonts w:hint="eastAsia"/>
        </w:rPr>
        <w:t>搭建联合风险管理机制，明确职责分工：</w:t>
      </w:r>
    </w:p>
    <w:p w14:paraId="3A490105">
      <w:pPr>
        <w:pStyle w:val="136"/>
        <w:tabs>
          <w:tab w:val="clear" w:pos="1276"/>
        </w:tabs>
        <w:ind w:left="851"/>
      </w:pPr>
      <w:r>
        <w:rPr>
          <w:rFonts w:hint="eastAsia"/>
        </w:rPr>
        <w:t>链主企业统筹协调、制定标准、风险整合与资源调配；</w:t>
      </w:r>
    </w:p>
    <w:p w14:paraId="1DB8F828">
      <w:pPr>
        <w:pStyle w:val="136"/>
        <w:tabs>
          <w:tab w:val="clear" w:pos="1276"/>
        </w:tabs>
        <w:ind w:left="851"/>
      </w:pPr>
      <w:r>
        <w:rPr>
          <w:rFonts w:hint="eastAsia"/>
        </w:rPr>
        <w:t>上游企业识别与报告原材料波动、环境和合规风险、交付风险等；</w:t>
      </w:r>
    </w:p>
    <w:p w14:paraId="5C14DA1D">
      <w:pPr>
        <w:pStyle w:val="136"/>
        <w:tabs>
          <w:tab w:val="clear" w:pos="1276"/>
        </w:tabs>
        <w:ind w:left="851"/>
      </w:pPr>
      <w:r>
        <w:rPr>
          <w:rFonts w:hint="eastAsia"/>
        </w:rPr>
        <w:t>下游企业反馈市场需求、消费者风险、渠道波动等。</w:t>
      </w:r>
    </w:p>
    <w:p w14:paraId="59EB90EF">
      <w:pPr>
        <w:pStyle w:val="168"/>
      </w:pPr>
      <w:r>
        <w:rPr>
          <w:rFonts w:hint="eastAsia"/>
        </w:rPr>
        <w:t>建立《供应链风险联合管理工作规则》或《多方风险应对协定》，指导合作方开展联合风险管理。</w:t>
      </w:r>
    </w:p>
    <w:p w14:paraId="3D24193C">
      <w:pPr>
        <w:pStyle w:val="6"/>
        <w:spacing w:before="120" w:after="120"/>
        <w:ind w:left="0"/>
      </w:pPr>
      <w:r>
        <w:rPr>
          <w:rFonts w:hint="eastAsia"/>
        </w:rPr>
        <w:t>制定全链条风险分类清单</w:t>
      </w:r>
    </w:p>
    <w:p w14:paraId="2CE8E8AB">
      <w:pPr>
        <w:pStyle w:val="168"/>
      </w:pPr>
      <w:r>
        <w:rPr>
          <w:rFonts w:hint="eastAsia"/>
        </w:rPr>
        <w:t>引导三方共同识别和定义风险类型，构建分级风险分类表，包括但不限于：</w:t>
      </w:r>
    </w:p>
    <w:p w14:paraId="7E32A1BD">
      <w:pPr>
        <w:pStyle w:val="136"/>
        <w:tabs>
          <w:tab w:val="clear" w:pos="1276"/>
        </w:tabs>
        <w:ind w:left="851"/>
      </w:pPr>
      <w:r>
        <w:rPr>
          <w:rFonts w:hint="eastAsia"/>
        </w:rPr>
        <w:t>供应风险：原料中断、设备故障、外包依赖。</w:t>
      </w:r>
    </w:p>
    <w:p w14:paraId="7773C3A5">
      <w:pPr>
        <w:pStyle w:val="136"/>
        <w:tabs>
          <w:tab w:val="clear" w:pos="1276"/>
        </w:tabs>
        <w:ind w:left="851"/>
      </w:pPr>
      <w:r>
        <w:rPr>
          <w:rFonts w:hint="eastAsia"/>
        </w:rPr>
        <w:t>需求风险：订单波动、客户投诉、市场政策变动。</w:t>
      </w:r>
    </w:p>
    <w:p w14:paraId="2F25980A">
      <w:pPr>
        <w:pStyle w:val="136"/>
        <w:tabs>
          <w:tab w:val="clear" w:pos="1276"/>
        </w:tabs>
        <w:ind w:left="851"/>
      </w:pPr>
      <w:r>
        <w:rPr>
          <w:rFonts w:hint="eastAsia"/>
        </w:rPr>
        <w:t>操作风险：交付延迟、质量问题、操作失误。</w:t>
      </w:r>
    </w:p>
    <w:p w14:paraId="50467E4A">
      <w:pPr>
        <w:pStyle w:val="136"/>
        <w:tabs>
          <w:tab w:val="clear" w:pos="1276"/>
        </w:tabs>
        <w:ind w:left="851"/>
      </w:pPr>
      <w:r>
        <w:rPr>
          <w:rFonts w:hint="eastAsia"/>
        </w:rPr>
        <w:t>财务与合规风险：付款违约、跨境监管、环保违规。</w:t>
      </w:r>
    </w:p>
    <w:p w14:paraId="3B67C1BD">
      <w:pPr>
        <w:pStyle w:val="136"/>
        <w:tabs>
          <w:tab w:val="clear" w:pos="1276"/>
        </w:tabs>
        <w:ind w:left="851"/>
      </w:pPr>
      <w:r>
        <w:rPr>
          <w:rFonts w:hint="eastAsia"/>
        </w:rPr>
        <w:t>战略风险：合作方退出、并购变动、地缘政治冲击。</w:t>
      </w:r>
    </w:p>
    <w:p w14:paraId="4F9F670E">
      <w:pPr>
        <w:pStyle w:val="168"/>
      </w:pPr>
      <w:r>
        <w:rPr>
          <w:rFonts w:hint="eastAsia"/>
        </w:rPr>
        <w:t>建立“风险源-责任方-影响路径”对应表，形成责任清晰、透明共享的基础。</w:t>
      </w:r>
    </w:p>
    <w:p w14:paraId="31416305">
      <w:pPr>
        <w:pStyle w:val="6"/>
        <w:spacing w:before="120" w:after="120"/>
        <w:ind w:left="0"/>
      </w:pPr>
      <w:r>
        <w:rPr>
          <w:rFonts w:hint="eastAsia"/>
        </w:rPr>
        <w:t>推动风险信息共享与早期预警</w:t>
      </w:r>
    </w:p>
    <w:p w14:paraId="348095FA">
      <w:pPr>
        <w:pStyle w:val="168"/>
      </w:pPr>
      <w:r>
        <w:rPr>
          <w:rFonts w:hint="eastAsia"/>
        </w:rPr>
        <w:t>链主企业宜设立统一的风险信息上报机制，要求上下游企业在识别以下事项时第一时间通报：</w:t>
      </w:r>
    </w:p>
    <w:p w14:paraId="44066585">
      <w:pPr>
        <w:pStyle w:val="136"/>
        <w:tabs>
          <w:tab w:val="clear" w:pos="1276"/>
        </w:tabs>
        <w:ind w:left="851"/>
      </w:pPr>
      <w:r>
        <w:rPr>
          <w:rFonts w:hint="eastAsia"/>
        </w:rPr>
        <w:t>材料异常与产能波动；</w:t>
      </w:r>
    </w:p>
    <w:p w14:paraId="44718704">
      <w:pPr>
        <w:pStyle w:val="136"/>
        <w:tabs>
          <w:tab w:val="clear" w:pos="1276"/>
        </w:tabs>
        <w:ind w:left="851"/>
      </w:pPr>
      <w:r>
        <w:rPr>
          <w:rFonts w:hint="eastAsia"/>
        </w:rPr>
        <w:t>市场终端负面反馈；</w:t>
      </w:r>
    </w:p>
    <w:p w14:paraId="52558D47">
      <w:pPr>
        <w:pStyle w:val="136"/>
        <w:tabs>
          <w:tab w:val="clear" w:pos="1276"/>
        </w:tabs>
        <w:ind w:left="851"/>
      </w:pPr>
      <w:r>
        <w:rPr>
          <w:rFonts w:hint="eastAsia"/>
        </w:rPr>
        <w:t>法规和政策变化；</w:t>
      </w:r>
    </w:p>
    <w:p w14:paraId="3719BB0E">
      <w:pPr>
        <w:pStyle w:val="136"/>
        <w:tabs>
          <w:tab w:val="clear" w:pos="1276"/>
        </w:tabs>
        <w:ind w:left="851"/>
      </w:pPr>
      <w:r>
        <w:rPr>
          <w:rFonts w:hint="eastAsia"/>
        </w:rPr>
        <w:t>突发事件，例如，疫情、自然灾害、劳工冲突等；</w:t>
      </w:r>
    </w:p>
    <w:p w14:paraId="6BF2F39E">
      <w:pPr>
        <w:pStyle w:val="168"/>
      </w:pPr>
      <w:r>
        <w:rPr>
          <w:rFonts w:hint="eastAsia"/>
        </w:rPr>
        <w:t>可构建共享风险预警看板，可视化展示主要风险项、等级、趋势与应对状态。</w:t>
      </w:r>
    </w:p>
    <w:p w14:paraId="6278D8BA">
      <w:pPr>
        <w:pStyle w:val="6"/>
        <w:spacing w:before="120" w:after="120"/>
        <w:ind w:left="0"/>
      </w:pPr>
      <w:r>
        <w:rPr>
          <w:rFonts w:hint="eastAsia"/>
        </w:rPr>
        <w:t>联合开展风险评估与应对演练</w:t>
      </w:r>
    </w:p>
    <w:p w14:paraId="511F39CD">
      <w:pPr>
        <w:pStyle w:val="168"/>
      </w:pPr>
      <w:r>
        <w:rPr>
          <w:rFonts w:hint="eastAsia"/>
        </w:rPr>
        <w:t>链主企业牵头组织年度供应链联合风险评估会，识别供应链合作风险和弱点。</w:t>
      </w:r>
    </w:p>
    <w:p w14:paraId="35F94C55">
      <w:pPr>
        <w:pStyle w:val="168"/>
      </w:pPr>
      <w:r>
        <w:rPr>
          <w:rFonts w:hint="eastAsia"/>
        </w:rPr>
        <w:t>针对核心节点组织跨企业风险应对演练，例如，订单集中爆发、原材料中断、召回危机等。</w:t>
      </w:r>
    </w:p>
    <w:p w14:paraId="6151515C">
      <w:pPr>
        <w:pStyle w:val="168"/>
      </w:pPr>
      <w:r>
        <w:rPr>
          <w:rFonts w:hint="eastAsia"/>
        </w:rPr>
        <w:t>明确风险发生后快速响应流程、责任对接人与决策路径。</w:t>
      </w:r>
    </w:p>
    <w:p w14:paraId="07AB1DC0">
      <w:pPr>
        <w:pStyle w:val="6"/>
        <w:spacing w:before="120" w:after="120"/>
        <w:ind w:left="0"/>
      </w:pPr>
      <w:r>
        <w:rPr>
          <w:rFonts w:hint="eastAsia"/>
        </w:rPr>
        <w:t>设立联合应急机制与资源池</w:t>
      </w:r>
    </w:p>
    <w:p w14:paraId="4AA114BC">
      <w:pPr>
        <w:pStyle w:val="168"/>
      </w:pPr>
      <w:r>
        <w:rPr>
          <w:rFonts w:hint="eastAsia"/>
        </w:rPr>
        <w:t>链主企业可与关键上游、下游共建供应链应急保障资源池，包括但不限于：</w:t>
      </w:r>
    </w:p>
    <w:p w14:paraId="20A53CCD">
      <w:pPr>
        <w:pStyle w:val="136"/>
        <w:tabs>
          <w:tab w:val="clear" w:pos="1276"/>
        </w:tabs>
        <w:ind w:left="851"/>
      </w:pPr>
      <w:r>
        <w:rPr>
          <w:rFonts w:hint="eastAsia"/>
        </w:rPr>
        <w:t>安全库存策略；</w:t>
      </w:r>
    </w:p>
    <w:p w14:paraId="7E1A4967">
      <w:pPr>
        <w:pStyle w:val="136"/>
        <w:tabs>
          <w:tab w:val="clear" w:pos="1276"/>
        </w:tabs>
        <w:ind w:left="851"/>
      </w:pPr>
      <w:r>
        <w:rPr>
          <w:rFonts w:hint="eastAsia"/>
        </w:rPr>
        <w:t>替代供应商备案；</w:t>
      </w:r>
    </w:p>
    <w:p w14:paraId="517EF8D1">
      <w:pPr>
        <w:pStyle w:val="136"/>
        <w:tabs>
          <w:tab w:val="clear" w:pos="1276"/>
        </w:tabs>
        <w:ind w:left="851"/>
      </w:pPr>
      <w:r>
        <w:rPr>
          <w:rFonts w:hint="eastAsia"/>
        </w:rPr>
        <w:t>临时外包与物流资源。</w:t>
      </w:r>
    </w:p>
    <w:p w14:paraId="4A270A76">
      <w:pPr>
        <w:pStyle w:val="168"/>
      </w:pPr>
      <w:r>
        <w:rPr>
          <w:rFonts w:hint="eastAsia"/>
        </w:rPr>
        <w:t>启动联合应急响应机制，例如，设立“应急联系人网络”、共享应急决策权限。</w:t>
      </w:r>
    </w:p>
    <w:p w14:paraId="56C92FF3">
      <w:pPr>
        <w:pStyle w:val="6"/>
        <w:spacing w:before="120" w:after="120"/>
        <w:ind w:left="0"/>
      </w:pPr>
      <w:r>
        <w:rPr>
          <w:rFonts w:hint="eastAsia"/>
        </w:rPr>
        <w:t>推进风险责任共担与保险机制</w:t>
      </w:r>
    </w:p>
    <w:p w14:paraId="7F416A5F">
      <w:pPr>
        <w:pStyle w:val="168"/>
      </w:pPr>
      <w:r>
        <w:rPr>
          <w:rFonts w:hint="eastAsia"/>
        </w:rPr>
        <w:t>宜将风险责任划分与共担原则写入合作协议中；</w:t>
      </w:r>
    </w:p>
    <w:p w14:paraId="0B9AAA56">
      <w:pPr>
        <w:pStyle w:val="168"/>
      </w:pPr>
      <w:r>
        <w:rPr>
          <w:rFonts w:hint="eastAsia"/>
        </w:rPr>
        <w:t>针对供应中断、自然灾害、运输延误等风险场景探索联合风险保险模式。</w:t>
      </w:r>
    </w:p>
    <w:p w14:paraId="52177AC8">
      <w:pPr>
        <w:pStyle w:val="168"/>
      </w:pPr>
      <w:r>
        <w:rPr>
          <w:rFonts w:hint="eastAsia"/>
        </w:rPr>
        <w:t>引导构建“共享成本、共享风险、共享收益”的长期合作关系模型，提升合作方参与风险管理的积极性。</w:t>
      </w:r>
    </w:p>
    <w:p w14:paraId="0C25E3C1">
      <w:pPr>
        <w:pStyle w:val="3"/>
        <w:spacing w:before="240" w:after="240"/>
        <w:ind w:left="0"/>
      </w:pPr>
      <w:bookmarkStart w:id="70" w:name="_Toc203036643"/>
      <w:r>
        <w:rPr>
          <w:rFonts w:hint="eastAsia"/>
        </w:rPr>
        <w:t>关系测量和优化</w:t>
      </w:r>
      <w:bookmarkEnd w:id="70"/>
    </w:p>
    <w:p w14:paraId="26E12EC1">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13747103">
      <w:pPr>
        <w:pStyle w:val="6"/>
        <w:spacing w:before="0" w:beforeLines="0" w:after="0" w:afterLines="0"/>
        <w:ind w:left="0"/>
        <w:rPr>
          <w:rFonts w:hint="eastAsia" w:ascii="宋体" w:hAnsi="宋体" w:eastAsia="宋体"/>
        </w:rPr>
      </w:pPr>
      <w:r>
        <w:rPr>
          <w:rFonts w:hint="eastAsia" w:ascii="宋体" w:hAnsi="宋体" w:eastAsia="宋体"/>
        </w:rPr>
        <w:t>关系测量与优化是指在合作过程中通过设定指标、收集反馈、分析结果等手段，定期评估合作关系的运行状态、信任水平、执行力与协同效率，并据此持续改进。</w:t>
      </w:r>
    </w:p>
    <w:p w14:paraId="03278E05">
      <w:pPr>
        <w:pStyle w:val="6"/>
        <w:spacing w:before="0" w:beforeLines="0" w:after="0" w:afterLines="0"/>
        <w:ind w:left="0"/>
        <w:rPr>
          <w:rFonts w:hint="eastAsia" w:ascii="宋体" w:hAnsi="宋体" w:eastAsia="宋体"/>
        </w:rPr>
      </w:pPr>
      <w:r>
        <w:rPr>
          <w:rFonts w:hint="eastAsia" w:ascii="宋体" w:hAnsi="宋体" w:eastAsia="宋体"/>
        </w:rPr>
        <w:t>没有测量，合作关系将缺乏方向与成长机制，容易原地踏步甚至退化：</w:t>
      </w:r>
    </w:p>
    <w:p w14:paraId="2A00E75F">
      <w:pPr>
        <w:pStyle w:val="136"/>
        <w:tabs>
          <w:tab w:val="clear" w:pos="1276"/>
        </w:tabs>
        <w:ind w:left="851"/>
      </w:pPr>
      <w:r>
        <w:rPr>
          <w:rFonts w:hint="eastAsia"/>
        </w:rPr>
        <w:t>链主企业通过测量可以发现合作瓶颈、调整策略；</w:t>
      </w:r>
    </w:p>
    <w:p w14:paraId="6D0A5FDB">
      <w:pPr>
        <w:pStyle w:val="136"/>
        <w:tabs>
          <w:tab w:val="clear" w:pos="1276"/>
        </w:tabs>
        <w:ind w:left="851"/>
      </w:pPr>
      <w:r>
        <w:rPr>
          <w:rFonts w:hint="eastAsia"/>
        </w:rPr>
        <w:t>上游企业可通过反馈优化服务与资源投入；</w:t>
      </w:r>
    </w:p>
    <w:p w14:paraId="72091C15">
      <w:pPr>
        <w:pStyle w:val="136"/>
        <w:tabs>
          <w:tab w:val="clear" w:pos="1276"/>
        </w:tabs>
        <w:ind w:left="851"/>
      </w:pPr>
      <w:r>
        <w:rPr>
          <w:rFonts w:hint="eastAsia"/>
        </w:rPr>
        <w:t>中游企业需要通过关系测量与优化，及时发现生产环节中的问题，调整生产策略，提升生产效率和产品质量；</w:t>
      </w:r>
    </w:p>
    <w:p w14:paraId="15DAF553">
      <w:pPr>
        <w:pStyle w:val="136"/>
        <w:tabs>
          <w:tab w:val="clear" w:pos="1276"/>
        </w:tabs>
        <w:ind w:left="851"/>
      </w:pPr>
      <w:r>
        <w:rPr>
          <w:rFonts w:hint="eastAsia"/>
        </w:rPr>
        <w:t>下游企业借此推动上游提供更高质量、更贴近需求的支持。</w:t>
      </w:r>
    </w:p>
    <w:p w14:paraId="27CB5A63">
      <w:pPr>
        <w:pStyle w:val="6"/>
        <w:spacing w:before="0" w:beforeLines="0" w:after="0" w:afterLines="0"/>
        <w:ind w:left="0"/>
        <w:rPr>
          <w:rFonts w:hint="eastAsia" w:ascii="宋体" w:hAnsi="宋体" w:eastAsia="宋体"/>
        </w:rPr>
      </w:pPr>
      <w:r>
        <w:rPr>
          <w:rFonts w:hint="eastAsia" w:ascii="宋体" w:hAnsi="宋体" w:eastAsia="宋体"/>
        </w:rPr>
        <w:t>链主企业处于供应链管理的主导位置，宜以“促进协同质量提升”为目标，建立科学、透明、可持续的合作关系评估与优化机制，并按照16.2牵头和推动上下游企业系统实施该原则。</w:t>
      </w:r>
    </w:p>
    <w:p w14:paraId="3F574B40">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6F01EA0A">
      <w:pPr>
        <w:pStyle w:val="6"/>
        <w:spacing w:before="120" w:after="120"/>
        <w:ind w:left="0"/>
      </w:pPr>
      <w:r>
        <w:rPr>
          <w:rFonts w:hint="eastAsia"/>
        </w:rPr>
        <w:t>建立合作关系评价框架</w:t>
      </w:r>
    </w:p>
    <w:p w14:paraId="377C6D28">
      <w:pPr>
        <w:pStyle w:val="4"/>
        <w:ind w:firstLine="420"/>
      </w:pPr>
      <w:r>
        <w:rPr>
          <w:rFonts w:hint="eastAsia"/>
        </w:rPr>
        <w:t>链主企业宜牵头构建三类维度的关系衡量模型，确保上、中、下游企业共同参与评价设计过程：</w:t>
      </w:r>
    </w:p>
    <w:p w14:paraId="3B74642F">
      <w:pPr>
        <w:pStyle w:val="136"/>
        <w:tabs>
          <w:tab w:val="clear" w:pos="1276"/>
        </w:tabs>
        <w:ind w:left="851"/>
      </w:pPr>
      <w:r>
        <w:rPr>
          <w:rFonts w:hint="eastAsia"/>
        </w:rPr>
        <w:t>合作绩效维度：例如，交付准时率、响应时效、问题解决效率。</w:t>
      </w:r>
    </w:p>
    <w:p w14:paraId="7B3431F1">
      <w:pPr>
        <w:pStyle w:val="136"/>
        <w:tabs>
          <w:tab w:val="clear" w:pos="1276"/>
        </w:tabs>
        <w:ind w:left="851"/>
      </w:pPr>
      <w:r>
        <w:rPr>
          <w:rFonts w:hint="eastAsia"/>
        </w:rPr>
        <w:t>行为质量维度：例如，沟通开放度、反馈准确性、协同行为一致性。</w:t>
      </w:r>
    </w:p>
    <w:p w14:paraId="1C6CE6B6">
      <w:pPr>
        <w:pStyle w:val="136"/>
        <w:tabs>
          <w:tab w:val="clear" w:pos="1276"/>
        </w:tabs>
        <w:ind w:left="851"/>
      </w:pPr>
      <w:r>
        <w:rPr>
          <w:rFonts w:hint="eastAsia"/>
        </w:rPr>
        <w:t>关系健康度维度：例如，信任水平、满意度、共赢感知。</w:t>
      </w:r>
    </w:p>
    <w:p w14:paraId="15B27F8B">
      <w:pPr>
        <w:pStyle w:val="6"/>
        <w:spacing w:before="120" w:after="120"/>
        <w:ind w:left="0"/>
      </w:pPr>
      <w:r>
        <w:rPr>
          <w:rFonts w:hint="eastAsia"/>
        </w:rPr>
        <w:t>推进定期双向评价机制</w:t>
      </w:r>
    </w:p>
    <w:p w14:paraId="7BD3C019">
      <w:pPr>
        <w:pStyle w:val="168"/>
      </w:pPr>
      <w:r>
        <w:rPr>
          <w:rFonts w:hint="eastAsia"/>
        </w:rPr>
        <w:t>建立上下游双向评价机制，由链主企业组织定期收集并反馈如下内容：</w:t>
      </w:r>
    </w:p>
    <w:p w14:paraId="057D7FAA">
      <w:pPr>
        <w:pStyle w:val="136"/>
        <w:tabs>
          <w:tab w:val="clear" w:pos="1276"/>
        </w:tabs>
        <w:ind w:left="851"/>
      </w:pPr>
      <w:r>
        <w:rPr>
          <w:rFonts w:hint="eastAsia"/>
        </w:rPr>
        <w:t>链主企业对上游和下游企业的评价；</w:t>
      </w:r>
    </w:p>
    <w:p w14:paraId="3A97448C">
      <w:pPr>
        <w:pStyle w:val="136"/>
        <w:tabs>
          <w:tab w:val="clear" w:pos="1276"/>
        </w:tabs>
        <w:ind w:left="851"/>
      </w:pPr>
      <w:r>
        <w:rPr>
          <w:rFonts w:hint="eastAsia"/>
        </w:rPr>
        <w:t>上下游企业对链主企业的反向评价。</w:t>
      </w:r>
    </w:p>
    <w:p w14:paraId="582D73A4">
      <w:pPr>
        <w:pStyle w:val="168"/>
      </w:pPr>
      <w:r>
        <w:rPr>
          <w:rFonts w:hint="eastAsia"/>
        </w:rPr>
        <w:t>鼓励评价非匿名化、可追溯，并将结果用于持续改进而非惩罚性用途。</w:t>
      </w:r>
    </w:p>
    <w:p w14:paraId="20C3CD25">
      <w:pPr>
        <w:pStyle w:val="168"/>
      </w:pPr>
      <w:r>
        <w:rPr>
          <w:rFonts w:hint="eastAsia"/>
        </w:rPr>
        <w:t>宜在跨方会议中共享改进建议与正向行为案例。</w:t>
      </w:r>
    </w:p>
    <w:p w14:paraId="12A1B61F">
      <w:pPr>
        <w:pStyle w:val="6"/>
        <w:spacing w:before="120" w:after="120"/>
        <w:ind w:left="0"/>
      </w:pPr>
      <w:r>
        <w:rPr>
          <w:rFonts w:hint="eastAsia"/>
        </w:rPr>
        <w:t>设立合作诊断制度</w:t>
      </w:r>
    </w:p>
    <w:p w14:paraId="60D48725">
      <w:pPr>
        <w:pStyle w:val="168"/>
      </w:pPr>
      <w:r>
        <w:rPr>
          <w:rFonts w:hint="eastAsia"/>
        </w:rPr>
        <w:t>组织年度合作关系健康体检，聚焦合作质量、风险动态与优化空间。</w:t>
      </w:r>
    </w:p>
    <w:p w14:paraId="54518602">
      <w:pPr>
        <w:pStyle w:val="168"/>
      </w:pPr>
      <w:r>
        <w:rPr>
          <w:rFonts w:hint="eastAsia"/>
        </w:rPr>
        <w:t>可委托第三方机构或内部PMO主导，对重点合作关系进行中立评估。</w:t>
      </w:r>
    </w:p>
    <w:p w14:paraId="4326D1B3">
      <w:pPr>
        <w:pStyle w:val="168"/>
      </w:pPr>
      <w:r>
        <w:rPr>
          <w:rFonts w:hint="eastAsia"/>
        </w:rPr>
        <w:t>设置“合作问题三色卡”制度识别合作风险等级，明确整改优先级：</w:t>
      </w:r>
    </w:p>
    <w:p w14:paraId="6BD5F370">
      <w:pPr>
        <w:pStyle w:val="136"/>
        <w:tabs>
          <w:tab w:val="clear" w:pos="1276"/>
        </w:tabs>
        <w:ind w:left="851"/>
      </w:pPr>
      <w:r>
        <w:rPr>
          <w:rFonts w:hint="eastAsia"/>
        </w:rPr>
        <w:t>红色（高风险）：表示存在严重风险，可能导致重大损失或严重影响合作进程。</w:t>
      </w:r>
    </w:p>
    <w:p w14:paraId="09E912AA">
      <w:pPr>
        <w:pStyle w:val="136"/>
        <w:tabs>
          <w:tab w:val="clear" w:pos="1276"/>
        </w:tabs>
        <w:ind w:left="851"/>
      </w:pPr>
      <w:r>
        <w:rPr>
          <w:rFonts w:hint="eastAsia"/>
        </w:rPr>
        <w:t>黄色（中风险）：表示存在一定风险，可能对合作产生负面影响，但可以通过采取措施进行控制。</w:t>
      </w:r>
    </w:p>
    <w:p w14:paraId="21DBD02C">
      <w:pPr>
        <w:pStyle w:val="136"/>
        <w:tabs>
          <w:tab w:val="clear" w:pos="1276"/>
        </w:tabs>
        <w:ind w:left="851"/>
      </w:pPr>
      <w:r>
        <w:rPr>
          <w:rFonts w:hint="eastAsia"/>
        </w:rPr>
        <w:t>蓝色（低风险）：表示风险较低，对合作的影响较小，但仍需关注。</w:t>
      </w:r>
    </w:p>
    <w:p w14:paraId="434787CF">
      <w:pPr>
        <w:pStyle w:val="6"/>
        <w:spacing w:before="120" w:after="120"/>
        <w:ind w:left="0"/>
      </w:pPr>
      <w:r>
        <w:rPr>
          <w:rFonts w:hint="eastAsia"/>
        </w:rPr>
        <w:t>嵌入优化与复盘流程</w:t>
      </w:r>
    </w:p>
    <w:p w14:paraId="2A31EA7D">
      <w:pPr>
        <w:pStyle w:val="168"/>
      </w:pPr>
      <w:r>
        <w:rPr>
          <w:rFonts w:hint="eastAsia"/>
        </w:rPr>
        <w:t>在项目周期结束后，组织复盘会议，总结以下关键项：</w:t>
      </w:r>
    </w:p>
    <w:p w14:paraId="57FD9287">
      <w:pPr>
        <w:pStyle w:val="136"/>
        <w:tabs>
          <w:tab w:val="clear" w:pos="1276"/>
        </w:tabs>
        <w:ind w:left="851"/>
      </w:pPr>
      <w:r>
        <w:rPr>
          <w:rFonts w:hint="eastAsia"/>
        </w:rPr>
        <w:t>合作目标完成情况；</w:t>
      </w:r>
    </w:p>
    <w:p w14:paraId="35EB2C12">
      <w:pPr>
        <w:pStyle w:val="136"/>
        <w:tabs>
          <w:tab w:val="clear" w:pos="1276"/>
        </w:tabs>
        <w:ind w:left="851"/>
      </w:pPr>
      <w:r>
        <w:rPr>
          <w:rFonts w:hint="eastAsia"/>
        </w:rPr>
        <w:t>问题与争议处理路径；</w:t>
      </w:r>
    </w:p>
    <w:p w14:paraId="1A067F04">
      <w:pPr>
        <w:pStyle w:val="136"/>
        <w:tabs>
          <w:tab w:val="clear" w:pos="1276"/>
        </w:tabs>
        <w:ind w:left="851"/>
      </w:pPr>
      <w:r>
        <w:rPr>
          <w:rFonts w:hint="eastAsia"/>
        </w:rPr>
        <w:t>合作中表现优秀的行为或流程；</w:t>
      </w:r>
    </w:p>
    <w:p w14:paraId="06437314">
      <w:pPr>
        <w:pStyle w:val="168"/>
      </w:pPr>
      <w:r>
        <w:rPr>
          <w:rFonts w:hint="eastAsia"/>
        </w:rPr>
        <w:t>推行持续改进清单制度，将每次复盘输出的优化建议纳入合作议程。</w:t>
      </w:r>
    </w:p>
    <w:p w14:paraId="64A289B3">
      <w:pPr>
        <w:pStyle w:val="168"/>
      </w:pPr>
      <w:r>
        <w:rPr>
          <w:rFonts w:hint="eastAsia"/>
        </w:rPr>
        <w:t>鼓励将改进方案共建为流程标准，并应用至其他合作场景。</w:t>
      </w:r>
    </w:p>
    <w:p w14:paraId="7FE0AC9C">
      <w:pPr>
        <w:pStyle w:val="6"/>
        <w:spacing w:before="120" w:after="120"/>
        <w:ind w:left="0"/>
      </w:pPr>
      <w:r>
        <w:rPr>
          <w:rFonts w:hint="eastAsia"/>
        </w:rPr>
        <w:t>以数据驱动关系演进</w:t>
      </w:r>
    </w:p>
    <w:p w14:paraId="694AD7DA">
      <w:pPr>
        <w:pStyle w:val="168"/>
      </w:pPr>
      <w:r>
        <w:rPr>
          <w:rFonts w:hint="eastAsia"/>
        </w:rPr>
        <w:t>宜通过技术手段集成绩效、行为、反馈、优化建议等内容，实现合作关系的可视化。</w:t>
      </w:r>
    </w:p>
    <w:p w14:paraId="7747B7B5">
      <w:pPr>
        <w:pStyle w:val="168"/>
      </w:pPr>
      <w:r>
        <w:rPr>
          <w:rFonts w:hint="eastAsia"/>
        </w:rPr>
        <w:t>设置合作改进KPI，例如，协同时效提升率、合作满意度增长率、共享成功案例数量等。</w:t>
      </w:r>
    </w:p>
    <w:p w14:paraId="202D0641">
      <w:pPr>
        <w:pStyle w:val="168"/>
      </w:pPr>
      <w:r>
        <w:rPr>
          <w:rFonts w:hint="eastAsia"/>
        </w:rPr>
        <w:t>运用AI或数据分析手段，识别潜在关系问题趋势，提前干预。</w:t>
      </w:r>
    </w:p>
    <w:p w14:paraId="100FF7E0">
      <w:pPr>
        <w:pStyle w:val="3"/>
        <w:spacing w:before="240" w:after="240"/>
        <w:ind w:left="0"/>
      </w:pPr>
      <w:bookmarkStart w:id="71" w:name="_Toc203036644"/>
      <w:r>
        <w:rPr>
          <w:rFonts w:hint="eastAsia"/>
        </w:rPr>
        <w:t>退出策略</w:t>
      </w:r>
      <w:bookmarkEnd w:id="71"/>
    </w:p>
    <w:p w14:paraId="66FB2178">
      <w:pPr>
        <w:pStyle w:val="166"/>
        <w:spacing w:before="240" w:beforeLines="100" w:after="240" w:afterLines="100"/>
        <w:ind w:left="0"/>
        <w:rPr>
          <w:rFonts w:hint="eastAsia" w:ascii="黑体" w:hAnsi="黑体" w:eastAsia="黑体"/>
        </w:rPr>
      </w:pPr>
      <w:r>
        <w:rPr>
          <w:rFonts w:hint="eastAsia" w:ascii="黑体" w:hAnsi="黑体" w:eastAsia="黑体"/>
        </w:rPr>
        <w:t>概述</w:t>
      </w:r>
    </w:p>
    <w:p w14:paraId="3F44FBD9">
      <w:pPr>
        <w:pStyle w:val="6"/>
        <w:spacing w:before="0" w:beforeLines="0" w:after="0" w:afterLines="0"/>
        <w:ind w:left="0"/>
        <w:rPr>
          <w:rFonts w:hint="eastAsia" w:ascii="宋体" w:hAnsi="宋体" w:eastAsia="宋体"/>
        </w:rPr>
      </w:pPr>
      <w:r>
        <w:rPr>
          <w:rFonts w:ascii="宋体" w:hAnsi="宋体" w:eastAsia="宋体"/>
        </w:rPr>
        <w:t>退出策略是指在合作关系终止时，为避免混乱、纠纷与损失，预先设定合理、有序、透明的退出机制与移交安排。</w:t>
      </w:r>
    </w:p>
    <w:p w14:paraId="083F7398">
      <w:pPr>
        <w:pStyle w:val="6"/>
        <w:spacing w:before="0" w:beforeLines="0" w:after="0" w:afterLines="0"/>
        <w:ind w:left="0"/>
        <w:rPr>
          <w:rFonts w:hint="eastAsia" w:ascii="宋体" w:hAnsi="宋体" w:eastAsia="宋体"/>
        </w:rPr>
      </w:pPr>
      <w:r>
        <w:rPr>
          <w:rFonts w:hint="eastAsia" w:ascii="宋体" w:hAnsi="宋体" w:eastAsia="宋体"/>
        </w:rPr>
        <w:t>有效的退出策略能够减少因合作关系终止带来的生产中断和资源浪费，同时维护企业的声誉和市场形象。缺乏退出设计，可能导致合作双方关系破裂、法律风险上升、商业信任崩溃。</w:t>
      </w:r>
    </w:p>
    <w:p w14:paraId="59E09230">
      <w:pPr>
        <w:pStyle w:val="136"/>
        <w:tabs>
          <w:tab w:val="clear" w:pos="1276"/>
        </w:tabs>
        <w:ind w:left="851"/>
      </w:pPr>
      <w:r>
        <w:rPr>
          <w:rFonts w:hint="eastAsia"/>
        </w:rPr>
        <w:t>链主企业可避免核心数据泄露、资源浪费与市场波动；</w:t>
      </w:r>
    </w:p>
    <w:p w14:paraId="76AEBC8F">
      <w:pPr>
        <w:pStyle w:val="136"/>
        <w:tabs>
          <w:tab w:val="clear" w:pos="1276"/>
        </w:tabs>
        <w:ind w:left="851"/>
      </w:pPr>
      <w:r>
        <w:rPr>
          <w:rFonts w:hint="eastAsia"/>
        </w:rPr>
        <w:t>上游企业需合理清退库存与释放产能；</w:t>
      </w:r>
    </w:p>
    <w:p w14:paraId="3B8B5E15">
      <w:pPr>
        <w:pStyle w:val="136"/>
        <w:tabs>
          <w:tab w:val="clear" w:pos="1276"/>
        </w:tabs>
        <w:ind w:left="851"/>
      </w:pPr>
      <w:r>
        <w:rPr>
          <w:rFonts w:hint="eastAsia"/>
        </w:rPr>
        <w:t>中游企业需要合理安排生产设备的调整、库存的清理以及员工的安置；</w:t>
      </w:r>
    </w:p>
    <w:p w14:paraId="2A4B3020">
      <w:pPr>
        <w:pStyle w:val="136"/>
        <w:tabs>
          <w:tab w:val="clear" w:pos="1276"/>
        </w:tabs>
        <w:ind w:left="851"/>
      </w:pPr>
      <w:r>
        <w:rPr>
          <w:rFonts w:hint="eastAsia"/>
        </w:rPr>
        <w:t>下游企业需安排客户对接与服务持续。</w:t>
      </w:r>
    </w:p>
    <w:p w14:paraId="4B3FE9A9">
      <w:pPr>
        <w:pStyle w:val="6"/>
        <w:spacing w:before="0" w:beforeLines="0" w:after="0" w:afterLines="0"/>
        <w:ind w:left="0"/>
        <w:rPr>
          <w:rFonts w:hint="eastAsia" w:ascii="宋体" w:hAnsi="宋体" w:eastAsia="宋体"/>
        </w:rPr>
      </w:pPr>
      <w:r>
        <w:rPr>
          <w:rFonts w:hint="eastAsia" w:ascii="宋体" w:hAnsi="宋体" w:eastAsia="宋体"/>
        </w:rPr>
        <w:t>链主企业在供应链合作中扮演主导角色，宜按照17.2牵头和引导上下游企业建立清晰、透明、可预期的退出机制，避免因合作终止引发不必要的运营风险、关系破裂或声誉损害。</w:t>
      </w:r>
    </w:p>
    <w:p w14:paraId="7DA15D42">
      <w:pPr>
        <w:pStyle w:val="166"/>
        <w:spacing w:before="240" w:beforeLines="100" w:after="240" w:afterLines="100"/>
        <w:ind w:left="0"/>
        <w:rPr>
          <w:rFonts w:hint="eastAsia" w:ascii="黑体" w:hAnsi="黑体" w:eastAsia="黑体"/>
        </w:rPr>
      </w:pPr>
      <w:r>
        <w:rPr>
          <w:rFonts w:hint="eastAsia" w:ascii="黑体" w:hAnsi="黑体" w:eastAsia="黑体"/>
        </w:rPr>
        <w:t>实施路径</w:t>
      </w:r>
    </w:p>
    <w:p w14:paraId="35F8D060">
      <w:pPr>
        <w:pStyle w:val="6"/>
        <w:spacing w:before="120" w:after="120"/>
        <w:ind w:left="0"/>
      </w:pPr>
      <w:r>
        <w:rPr>
          <w:rFonts w:hint="eastAsia"/>
        </w:rPr>
        <w:t>明确退出策略作为合作初期必要议题</w:t>
      </w:r>
    </w:p>
    <w:p w14:paraId="255EB81C">
      <w:pPr>
        <w:pStyle w:val="168"/>
      </w:pPr>
      <w:r>
        <w:rPr>
          <w:rFonts w:hint="eastAsia"/>
        </w:rPr>
        <w:t>在合作框架协议或首次谈判中即提出“退出机制”，传递负责任合作的理念；</w:t>
      </w:r>
    </w:p>
    <w:p w14:paraId="3DC9DDB8">
      <w:pPr>
        <w:pStyle w:val="168"/>
      </w:pPr>
      <w:r>
        <w:rPr>
          <w:rFonts w:hint="eastAsia"/>
        </w:rPr>
        <w:t>设立“退出条款”作为标准合作文件组成部分，涵盖如下方面：</w:t>
      </w:r>
    </w:p>
    <w:p w14:paraId="044BA3A1">
      <w:pPr>
        <w:pStyle w:val="136"/>
        <w:tabs>
          <w:tab w:val="clear" w:pos="1276"/>
        </w:tabs>
        <w:ind w:left="851"/>
      </w:pPr>
      <w:r>
        <w:rPr>
          <w:rFonts w:hint="eastAsia"/>
        </w:rPr>
        <w:t>合作终止条件，例如，合同期满、目标失效、违约等；</w:t>
      </w:r>
    </w:p>
    <w:p w14:paraId="64D10B69">
      <w:pPr>
        <w:pStyle w:val="136"/>
        <w:tabs>
          <w:tab w:val="clear" w:pos="1276"/>
        </w:tabs>
        <w:ind w:left="851"/>
      </w:pPr>
      <w:r>
        <w:rPr>
          <w:rFonts w:hint="eastAsia"/>
        </w:rPr>
        <w:t>提前终止通知期限与流程；</w:t>
      </w:r>
    </w:p>
    <w:p w14:paraId="42AFB6A0">
      <w:pPr>
        <w:pStyle w:val="136"/>
        <w:tabs>
          <w:tab w:val="clear" w:pos="1276"/>
        </w:tabs>
        <w:ind w:left="851"/>
      </w:pPr>
      <w:r>
        <w:rPr>
          <w:rFonts w:hint="eastAsia"/>
        </w:rPr>
        <w:t>正常退出与非正常退出的区分与应对；</w:t>
      </w:r>
    </w:p>
    <w:p w14:paraId="50324BA4">
      <w:pPr>
        <w:pStyle w:val="136"/>
        <w:tabs>
          <w:tab w:val="clear" w:pos="1276"/>
        </w:tabs>
        <w:ind w:left="851"/>
      </w:pPr>
      <w:r>
        <w:rPr>
          <w:rFonts w:hint="eastAsia"/>
        </w:rPr>
        <w:t>各方义务的延续性或终止责任划分。</w:t>
      </w:r>
    </w:p>
    <w:p w14:paraId="348CAF91">
      <w:pPr>
        <w:pStyle w:val="6"/>
        <w:spacing w:before="120" w:after="120"/>
        <w:ind w:left="0"/>
      </w:pPr>
      <w:r>
        <w:rPr>
          <w:rFonts w:hint="eastAsia"/>
        </w:rPr>
        <w:t>构建退出路径</w:t>
      </w:r>
    </w:p>
    <w:p w14:paraId="1438111D">
      <w:pPr>
        <w:pStyle w:val="168"/>
      </w:pPr>
      <w:r>
        <w:rPr>
          <w:rFonts w:hint="eastAsia"/>
        </w:rPr>
        <w:t>链主企业宜牵头与上、下游企业共同制定“合作终止流程图”，并明确以下内容：</w:t>
      </w:r>
    </w:p>
    <w:p w14:paraId="45F54B4B">
      <w:pPr>
        <w:pStyle w:val="136"/>
        <w:tabs>
          <w:tab w:val="clear" w:pos="1276"/>
        </w:tabs>
        <w:ind w:left="851"/>
      </w:pPr>
      <w:r>
        <w:rPr>
          <w:rFonts w:hint="eastAsia"/>
        </w:rPr>
        <w:t>决策节点与批准层级；</w:t>
      </w:r>
    </w:p>
    <w:p w14:paraId="6E565A34">
      <w:pPr>
        <w:pStyle w:val="136"/>
        <w:tabs>
          <w:tab w:val="clear" w:pos="1276"/>
        </w:tabs>
        <w:ind w:left="851"/>
      </w:pPr>
      <w:r>
        <w:rPr>
          <w:rFonts w:hint="eastAsia"/>
        </w:rPr>
        <w:t>资源与资产处理路径，例如，库存、模具、信息系统权限等；</w:t>
      </w:r>
    </w:p>
    <w:p w14:paraId="01CF748E">
      <w:pPr>
        <w:pStyle w:val="136"/>
        <w:tabs>
          <w:tab w:val="clear" w:pos="1276"/>
        </w:tabs>
        <w:ind w:left="851"/>
      </w:pPr>
      <w:r>
        <w:rPr>
          <w:rFonts w:hint="eastAsia"/>
        </w:rPr>
        <w:t>数据与知识的交接与归档；</w:t>
      </w:r>
    </w:p>
    <w:p w14:paraId="0EB72236">
      <w:pPr>
        <w:pStyle w:val="136"/>
        <w:tabs>
          <w:tab w:val="clear" w:pos="1276"/>
        </w:tabs>
        <w:ind w:left="851"/>
      </w:pPr>
      <w:r>
        <w:rPr>
          <w:rFonts w:hint="eastAsia"/>
        </w:rPr>
        <w:t>用户或终端影响应对策略；</w:t>
      </w:r>
    </w:p>
    <w:p w14:paraId="2A0836D9">
      <w:pPr>
        <w:pStyle w:val="136"/>
        <w:tabs>
          <w:tab w:val="clear" w:pos="1276"/>
        </w:tabs>
        <w:ind w:left="851"/>
      </w:pPr>
      <w:r>
        <w:rPr>
          <w:rFonts w:hint="eastAsia"/>
        </w:rPr>
        <w:t>退出周期与后续安排。</w:t>
      </w:r>
    </w:p>
    <w:p w14:paraId="182CF7BB">
      <w:pPr>
        <w:pStyle w:val="6"/>
        <w:spacing w:before="120" w:after="120"/>
        <w:ind w:left="0"/>
      </w:pPr>
      <w:r>
        <w:rPr>
          <w:rFonts w:hint="eastAsia"/>
        </w:rPr>
        <w:t>设立退出过渡机制与缓冲安排</w:t>
      </w:r>
    </w:p>
    <w:p w14:paraId="10286CB2">
      <w:pPr>
        <w:pStyle w:val="168"/>
      </w:pPr>
      <w:r>
        <w:rPr>
          <w:rFonts w:hint="eastAsia"/>
        </w:rPr>
        <w:t>设定退出过渡期制度：</w:t>
      </w:r>
    </w:p>
    <w:p w14:paraId="79DE9F22">
      <w:pPr>
        <w:pStyle w:val="136"/>
        <w:tabs>
          <w:tab w:val="clear" w:pos="1276"/>
        </w:tabs>
        <w:ind w:left="851"/>
      </w:pPr>
      <w:r>
        <w:rPr>
          <w:rFonts w:hint="eastAsia"/>
        </w:rPr>
        <w:t>对长期合作伙伴提供技术交接和培训支持；</w:t>
      </w:r>
    </w:p>
    <w:p w14:paraId="6C8BDD93">
      <w:pPr>
        <w:pStyle w:val="136"/>
        <w:tabs>
          <w:tab w:val="clear" w:pos="1276"/>
        </w:tabs>
        <w:ind w:left="851"/>
      </w:pPr>
      <w:r>
        <w:rPr>
          <w:rFonts w:hint="eastAsia"/>
        </w:rPr>
        <w:t>在退出期内维持基本服务与信息通畅。</w:t>
      </w:r>
    </w:p>
    <w:p w14:paraId="4CC044EA">
      <w:pPr>
        <w:pStyle w:val="168"/>
      </w:pPr>
      <w:r>
        <w:rPr>
          <w:rFonts w:hint="eastAsia"/>
        </w:rPr>
        <w:t>推动建立替代方备案机制，在上游设有B类供应商，在下游建立备选合作渠道。</w:t>
      </w:r>
    </w:p>
    <w:p w14:paraId="0C159E81">
      <w:pPr>
        <w:pStyle w:val="168"/>
      </w:pPr>
      <w:r>
        <w:rPr>
          <w:rFonts w:hint="eastAsia"/>
        </w:rPr>
        <w:t>在项目型合作中设置交接负责人，确保退出过程专业、有序、低冲突。</w:t>
      </w:r>
    </w:p>
    <w:p w14:paraId="346E70E3">
      <w:pPr>
        <w:pStyle w:val="6"/>
        <w:spacing w:before="120" w:after="120"/>
        <w:ind w:left="0"/>
      </w:pPr>
      <w:r>
        <w:rPr>
          <w:rFonts w:hint="eastAsia"/>
        </w:rPr>
        <w:t>评估退出影响与风险对冲策略</w:t>
      </w:r>
    </w:p>
    <w:p w14:paraId="0BED8CE2">
      <w:pPr>
        <w:pStyle w:val="168"/>
      </w:pPr>
      <w:r>
        <w:rPr>
          <w:rFonts w:hint="eastAsia"/>
        </w:rPr>
        <w:t>前置退出风险，宜在启动合作时分析退出影响，识别退出可能导致的供应中断、客户流失、舆情等风险。</w:t>
      </w:r>
    </w:p>
    <w:p w14:paraId="33427A77">
      <w:pPr>
        <w:pStyle w:val="168"/>
      </w:pPr>
      <w:r>
        <w:rPr>
          <w:rFonts w:hint="eastAsia"/>
        </w:rPr>
        <w:t>针对关键资源，例如，独家材料、专利技术，设置退出缓冲策略，例如，技术授权宽限期、库存回收机制。</w:t>
      </w:r>
    </w:p>
    <w:p w14:paraId="5C9DFF45">
      <w:pPr>
        <w:pStyle w:val="168"/>
      </w:pPr>
      <w:r>
        <w:rPr>
          <w:rFonts w:hint="eastAsia"/>
        </w:rPr>
        <w:t>对于高风险退出情况，链主企业可牵头成立退出应对小组，提前演练。</w:t>
      </w:r>
    </w:p>
    <w:p w14:paraId="3456E25E">
      <w:pPr>
        <w:pStyle w:val="6"/>
        <w:spacing w:before="120" w:after="120"/>
        <w:ind w:left="0"/>
      </w:pPr>
      <w:r>
        <w:rPr>
          <w:rFonts w:hint="eastAsia"/>
        </w:rPr>
        <w:t>推动有尊严、有信任的合作终止文化</w:t>
      </w:r>
    </w:p>
    <w:p w14:paraId="043703FF">
      <w:pPr>
        <w:pStyle w:val="168"/>
      </w:pPr>
      <w:r>
        <w:rPr>
          <w:rFonts w:hint="eastAsia"/>
        </w:rPr>
        <w:t>宜将退出视为合作自然阶段之一，不将其视为失败；</w:t>
      </w:r>
    </w:p>
    <w:p w14:paraId="4DA10AED">
      <w:pPr>
        <w:pStyle w:val="168"/>
      </w:pPr>
      <w:r>
        <w:rPr>
          <w:rFonts w:hint="eastAsia"/>
        </w:rPr>
        <w:t>鼓励合作后评价机制，即使终止合作，合作方也可在相互尊重的前提下，基于数据、事由和进行评估。</w:t>
      </w:r>
    </w:p>
    <w:p w14:paraId="7ABC0551">
      <w:pPr>
        <w:pStyle w:val="168"/>
      </w:pPr>
      <w:r>
        <w:rPr>
          <w:rFonts w:hint="eastAsia"/>
        </w:rPr>
        <w:t>对在退出过程中表现出良好配合与责任意识的合作方，可考虑给予重新合作机会或正面行业推荐。</w:t>
      </w:r>
    </w:p>
    <w:p w14:paraId="1A24F3BB">
      <w:pPr>
        <w:pStyle w:val="6"/>
        <w:spacing w:before="120" w:after="120"/>
        <w:ind w:left="0"/>
      </w:pPr>
      <w:r>
        <w:rPr>
          <w:rFonts w:hint="eastAsia"/>
        </w:rPr>
        <w:t>构建合作生命周期闭环管理机制</w:t>
      </w:r>
    </w:p>
    <w:p w14:paraId="16A717CA">
      <w:pPr>
        <w:pStyle w:val="168"/>
      </w:pPr>
      <w:r>
        <w:rPr>
          <w:rFonts w:hint="eastAsia"/>
        </w:rPr>
        <w:t>将“退出策略”与“合作启动”、“执行”、“优化”环节视为一个完整生命周期。</w:t>
      </w:r>
    </w:p>
    <w:p w14:paraId="23486578">
      <w:pPr>
        <w:pStyle w:val="168"/>
      </w:pPr>
      <w:r>
        <w:rPr>
          <w:rFonts w:hint="eastAsia"/>
        </w:rPr>
        <w:t>建立《合作生命周期管理手册》，明确在不同阶段的关键任务与责任人。</w:t>
      </w:r>
    </w:p>
    <w:p w14:paraId="52947E0E">
      <w:pPr>
        <w:pStyle w:val="168"/>
      </w:pPr>
      <w:r>
        <w:rPr>
          <w:rFonts w:hint="eastAsia"/>
        </w:rPr>
        <w:t>鼓励围绕“退出前、退出中、退出后”的合作遗留问题进行全流程控制，例如，数据保留、售后处理、品牌使用等。</w:t>
      </w:r>
    </w:p>
    <w:p w14:paraId="25BB4C7E">
      <w:pPr>
        <w:pStyle w:val="3"/>
        <w:spacing w:before="240" w:after="240"/>
        <w:ind w:left="0"/>
      </w:pPr>
      <w:bookmarkStart w:id="72" w:name="_Toc203036645"/>
      <w:r>
        <w:rPr>
          <w:rFonts w:hint="eastAsia"/>
        </w:rPr>
        <w:t>实践案例</w:t>
      </w:r>
      <w:bookmarkEnd w:id="72"/>
    </w:p>
    <w:p w14:paraId="46B342E9">
      <w:pPr>
        <w:pStyle w:val="109"/>
        <w:spacing w:before="120" w:after="120"/>
        <w:ind w:left="0"/>
      </w:pPr>
      <w:r>
        <w:rPr>
          <w:rFonts w:hint="eastAsia"/>
        </w:rPr>
        <w:t>概述</w:t>
      </w:r>
    </w:p>
    <w:p w14:paraId="174904D0">
      <w:pPr>
        <w:pStyle w:val="169"/>
        <w:ind w:left="0"/>
      </w:pPr>
      <w:r>
        <w:rPr>
          <w:rFonts w:hint="eastAsia"/>
        </w:rPr>
        <w:t>作为我国重点支持的战略性新兴产业，其中：</w:t>
      </w:r>
    </w:p>
    <w:p w14:paraId="6C93B4AB">
      <w:pPr>
        <w:pStyle w:val="136"/>
      </w:pPr>
      <w:r>
        <w:rPr>
          <w:rFonts w:hint="eastAsia"/>
        </w:rPr>
        <w:t>先进制造业是推动产业升级和提升国际竞争力的关键领域；</w:t>
      </w:r>
    </w:p>
    <w:p w14:paraId="125172E1">
      <w:pPr>
        <w:pStyle w:val="136"/>
      </w:pPr>
      <w:r>
        <w:rPr>
          <w:rFonts w:hint="eastAsia"/>
        </w:rPr>
        <w:t>清洁能源是未来发展的必然趋势，涉及光伏、风电、储能、氢能等多个领域；</w:t>
      </w:r>
    </w:p>
    <w:p w14:paraId="59B0D8BC">
      <w:pPr>
        <w:pStyle w:val="136"/>
      </w:pPr>
      <w:r>
        <w:rPr>
          <w:rFonts w:hint="eastAsia"/>
        </w:rPr>
        <w:t>智能汽车是全球汽车产业的发展方向，涵盖新能源汽车、智能网联技术等；</w:t>
      </w:r>
    </w:p>
    <w:p w14:paraId="70778A92">
      <w:pPr>
        <w:pStyle w:val="136"/>
      </w:pPr>
      <w:r>
        <w:rPr>
          <w:rFonts w:hint="eastAsia"/>
        </w:rPr>
        <w:t>数字科技是现代经济的核心驱动力，涵盖人工智能、大数据、云计算等前沿技术；</w:t>
      </w:r>
    </w:p>
    <w:p w14:paraId="350C00EB">
      <w:pPr>
        <w:pStyle w:val="136"/>
      </w:pPr>
      <w:r>
        <w:rPr>
          <w:rFonts w:hint="eastAsia"/>
        </w:rPr>
        <w:t>健康是人们对美好生活的向往，健康生活链覆盖从出生到养老的全生命周期，涉及医药、康养等多个领域，契合全球对健康需求的增长；</w:t>
      </w:r>
    </w:p>
    <w:p w14:paraId="0F11349E">
      <w:pPr>
        <w:pStyle w:val="136"/>
      </w:pPr>
      <w:r>
        <w:rPr>
          <w:rFonts w:hint="eastAsia"/>
        </w:rPr>
        <w:t>农业是可持续发展的基础，绿色农业链从“田园”到“餐桌”展示了农业全产业链，有助于推动农业的绿色化、智慧化发展。</w:t>
      </w:r>
    </w:p>
    <w:p w14:paraId="3F599B86">
      <w:pPr>
        <w:pStyle w:val="169"/>
        <w:ind w:left="0"/>
      </w:pPr>
      <w:r>
        <w:rPr>
          <w:rFonts w:hint="eastAsia"/>
        </w:rPr>
        <w:t>设置先进制造链、清洁能源链、智能汽车链、数字科技链、健康生活链、绿色农业链等6大链条，是基于当前全球产业发展趋势、国家战略需求以及供应链合作的实际需要，</w:t>
      </w:r>
      <w:r>
        <w:t>旨在推动产业升级、实现绿色发展、促进科技创新和增强供应链韧性。</w:t>
      </w:r>
    </w:p>
    <w:p w14:paraId="356B2DB0">
      <w:pPr>
        <w:pStyle w:val="109"/>
        <w:spacing w:before="120" w:after="120"/>
        <w:ind w:left="0"/>
      </w:pPr>
      <w:r>
        <w:rPr>
          <w:rFonts w:hint="eastAsia"/>
        </w:rPr>
        <w:t>六大链条</w:t>
      </w:r>
    </w:p>
    <w:p w14:paraId="181C85F5">
      <w:pPr>
        <w:pStyle w:val="169"/>
        <w:ind w:left="0"/>
      </w:pPr>
      <w:r>
        <w:rPr>
          <w:rFonts w:hint="eastAsia"/>
        </w:rPr>
        <w:t>先进制造链展示全球先进制造领域从前端研发设计、新材料运用、关键零部件及加工，到智能制造及高端装备的全产业链过程，展现“新质生产力”中先进制造业在推动产业升级，提升国际竞争力方面的关键作用，进一步加强中外先进制造业企业的合作和共同发展，推进建设现代化产业体系。先进制造链企业供应链合作实践案例见附录A。</w:t>
      </w:r>
    </w:p>
    <w:p w14:paraId="5EB1BB99">
      <w:pPr>
        <w:pStyle w:val="169"/>
        <w:ind w:left="0"/>
      </w:pPr>
      <w:r>
        <w:rPr>
          <w:rFonts w:hint="eastAsia"/>
        </w:rPr>
        <w:t>清洁能源链以“源网荷储”为基础，展示清洁能源从供给到消纳的全周期产业链，聚焦光伏、风电、核能、氢能、储能、智能电网、传统能源低碳化及零碳园区的新技术、新产品、新动态和新趋势，促进多能互补、融合发展，助力实现低碳发展目标。清洁能源链企业供应链合作实践案例见附录B。</w:t>
      </w:r>
    </w:p>
    <w:p w14:paraId="63D8949E">
      <w:pPr>
        <w:pStyle w:val="169"/>
        <w:ind w:left="0"/>
      </w:pPr>
      <w:r>
        <w:rPr>
          <w:rFonts w:hint="eastAsia"/>
        </w:rPr>
        <w:t>智能汽车链展示智能汽车产业链中上、中、下游关键技术和产品，主要包括核心原材料、关键元器件、三电系统、智能网联技术、不同技术路线的新能源整车，同时融合充换电等相关服务，聚焦电动化、智能化、网联化创新发展，增进产业内部合作、跨界融合、资源共享。智能汽车链企业供应链合作实践案例见附录C。</w:t>
      </w:r>
    </w:p>
    <w:p w14:paraId="74483C8D">
      <w:pPr>
        <w:pStyle w:val="169"/>
        <w:ind w:left="0"/>
      </w:pPr>
      <w:r>
        <w:rPr>
          <w:rFonts w:hint="eastAsia"/>
        </w:rPr>
        <w:t>数字科技链展示数字科技前沿技术、新兴产业及科技赋能不同行业的解决方案与应用产品，以底层技术变革、中层产业孵化、上层应用场景为主线，连接起创新端、产业端和应用端，全链条呈现数字经济的关键环节与重点内容，促进数字经济与实体经济深度融合升级。数字科技链企业供应链合作实践案例见附录D。</w:t>
      </w:r>
    </w:p>
    <w:p w14:paraId="679EB7FE">
      <w:pPr>
        <w:pStyle w:val="169"/>
        <w:ind w:left="0"/>
      </w:pPr>
      <w:r>
        <w:rPr>
          <w:rFonts w:hint="eastAsia"/>
        </w:rPr>
        <w:t>健康生活链展示大健康领域的关键产品和技术，融合传统医药、生活消费等特色产业，构建从出生到养老全生命周期健康产业链条，提倡绿色健康的生活方式，创新多元化消费场景，助力提振消费扩大内需。健康生活链企业供应链合作实践案例见附录E。</w:t>
      </w:r>
    </w:p>
    <w:p w14:paraId="16BC2898">
      <w:pPr>
        <w:pStyle w:val="169"/>
        <w:ind w:left="0"/>
      </w:pPr>
      <w:r>
        <w:rPr>
          <w:rFonts w:hint="eastAsia"/>
        </w:rPr>
        <w:t>绿色农业链展示从“田园”到“餐桌”农业全产业链条，分为上游农业生产环节、中游农产品加工环节，下游农产品及流通环节，聚焦农业信息化、智慧化，重构农业发展新动能，助力推动农业全产业链绿色融合发展。绿色农业链企业供应链合作实践案例见附录F。</w:t>
      </w:r>
    </w:p>
    <w:p w14:paraId="433C3733">
      <w:pPr>
        <w:pStyle w:val="136"/>
        <w:numPr>
          <w:ilvl w:val="0"/>
          <w:numId w:val="0"/>
        </w:numPr>
      </w:pPr>
    </w:p>
    <w:p w14:paraId="1AF83033">
      <w:pPr>
        <w:pStyle w:val="136"/>
        <w:numPr>
          <w:ilvl w:val="0"/>
          <w:numId w:val="0"/>
        </w:numPr>
        <w:sectPr>
          <w:headerReference r:id="rId12" w:type="default"/>
          <w:footerReference r:id="rId14" w:type="default"/>
          <w:headerReference r:id="rId13" w:type="even"/>
          <w:footerReference r:id="rId15" w:type="even"/>
          <w:pgSz w:w="11906" w:h="16838"/>
          <w:pgMar w:top="1928" w:right="1134" w:bottom="1134" w:left="1134" w:header="1418" w:footer="1134" w:gutter="284"/>
          <w:cols w:space="425" w:num="1"/>
          <w:formProt w:val="0"/>
          <w:docGrid w:linePitch="312" w:charSpace="0"/>
        </w:sectPr>
      </w:pPr>
    </w:p>
    <w:bookmarkEnd w:id="24"/>
    <w:p w14:paraId="6B6A9552">
      <w:pPr>
        <w:pStyle w:val="202"/>
        <w:rPr>
          <w:rFonts w:hint="eastAsia"/>
        </w:rPr>
      </w:pPr>
      <w:bookmarkStart w:id="73" w:name="BookMark5"/>
    </w:p>
    <w:p w14:paraId="3876F4B9">
      <w:pPr>
        <w:pStyle w:val="203"/>
      </w:pPr>
    </w:p>
    <w:p w14:paraId="3FEB34CE">
      <w:pPr>
        <w:pStyle w:val="81"/>
        <w:spacing w:after="120"/>
      </w:pPr>
      <w:r>
        <w:br w:type="textWrapping"/>
      </w:r>
      <w:bookmarkStart w:id="74" w:name="_Toc203036646"/>
      <w:r>
        <w:rPr>
          <w:rFonts w:hint="eastAsia"/>
        </w:rPr>
        <w:t>（资料性）</w:t>
      </w:r>
      <w:r>
        <w:br w:type="textWrapping"/>
      </w:r>
      <w:r>
        <w:rPr>
          <w:rFonts w:hint="eastAsia"/>
        </w:rPr>
        <w:t>先进制造链企业供应链合作实践案例</w:t>
      </w:r>
      <w:bookmarkEnd w:id="74"/>
    </w:p>
    <w:p w14:paraId="6CAFC85B">
      <w:pPr>
        <w:pStyle w:val="4"/>
        <w:ind w:firstLine="420"/>
      </w:pPr>
    </w:p>
    <w:p w14:paraId="2372CDB6">
      <w:pPr>
        <w:pStyle w:val="83"/>
        <w:spacing w:before="120" w:after="120"/>
      </w:pPr>
      <w:r>
        <w:rPr>
          <w:rFonts w:hint="eastAsia"/>
        </w:rPr>
        <w:t>案例背景</w:t>
      </w:r>
    </w:p>
    <w:p w14:paraId="592D3E90">
      <w:pPr>
        <w:pStyle w:val="4"/>
        <w:ind w:firstLine="420"/>
      </w:pPr>
      <w:r>
        <w:rPr>
          <w:rFonts w:hint="eastAsia"/>
        </w:rPr>
        <w:t>附录A是以M企业为链主企业的多级协同制造实践案例，其中：</w:t>
      </w:r>
    </w:p>
    <w:p w14:paraId="5ECF633B">
      <w:pPr>
        <w:pStyle w:val="136"/>
      </w:pPr>
      <w:r>
        <w:rPr>
          <w:rFonts w:hint="eastAsia"/>
        </w:rPr>
        <w:t>M企业是一家领先的高端数控装备制造商，作为先进制造链的链主企业，其产品广泛应用于航空航天、精密医疗器械和新能源装备等领域；</w:t>
      </w:r>
    </w:p>
    <w:p w14:paraId="551EBA54">
      <w:pPr>
        <w:pStyle w:val="136"/>
      </w:pPr>
      <w:r>
        <w:rPr>
          <w:rFonts w:hint="eastAsia"/>
        </w:rPr>
        <w:t>为推动“高精高集成数控系统”的研发量产，M企业联合其上游核心部件供应商T公司（高精密光栅尺和伺服驱动制造商）与下游F公司（专业自动化产线集成商）开展深度合作；</w:t>
      </w:r>
    </w:p>
    <w:p w14:paraId="101FA223">
      <w:pPr>
        <w:pStyle w:val="136"/>
      </w:pPr>
      <w:r>
        <w:rPr>
          <w:rFonts w:hint="eastAsia"/>
        </w:rPr>
        <w:t>三方建立了高一致性、高响应性、高透明度的协同制造模式。</w:t>
      </w:r>
    </w:p>
    <w:p w14:paraId="3477F0C2">
      <w:pPr>
        <w:pStyle w:val="83"/>
        <w:spacing w:before="120" w:after="120"/>
      </w:pPr>
      <w:r>
        <w:rPr>
          <w:rFonts w:hint="eastAsia"/>
        </w:rPr>
        <w:t>合作原则落地实践</w:t>
      </w:r>
    </w:p>
    <w:p w14:paraId="785C0A08">
      <w:pPr>
        <w:pStyle w:val="84"/>
        <w:spacing w:before="120" w:after="120"/>
      </w:pPr>
      <w:r>
        <w:t>关系管理</w:t>
      </w:r>
    </w:p>
    <w:p w14:paraId="03FC1B48">
      <w:pPr>
        <w:pStyle w:val="4"/>
        <w:ind w:firstLine="420"/>
      </w:pPr>
      <w:r>
        <w:rPr>
          <w:rFonts w:hint="eastAsia"/>
        </w:rPr>
        <w:t>设立联合开发与制造项目组，涵盖三方技术、工艺、质量、物流负责人。合作周期内统一使用M企业的</w:t>
      </w:r>
      <w:r>
        <w:t>产品生命周期管理 (Product Lifecycle Management，PLM)</w:t>
      </w:r>
      <w:r>
        <w:rPr>
          <w:rFonts w:hint="eastAsia"/>
        </w:rPr>
        <w:t>平台对项目进行版本管理与进度同步。</w:t>
      </w:r>
    </w:p>
    <w:p w14:paraId="7160A84C">
      <w:pPr>
        <w:pStyle w:val="84"/>
        <w:spacing w:before="120" w:after="120"/>
      </w:pPr>
      <w:r>
        <w:t>愿景</w:t>
      </w:r>
      <w:r>
        <w:rPr>
          <w:rFonts w:hint="eastAsia"/>
        </w:rPr>
        <w:t>和</w:t>
      </w:r>
      <w:r>
        <w:t>价值观</w:t>
      </w:r>
    </w:p>
    <w:p w14:paraId="41A19DA5">
      <w:pPr>
        <w:pStyle w:val="4"/>
        <w:ind w:firstLine="420"/>
      </w:pPr>
      <w:r>
        <w:rPr>
          <w:rFonts w:hint="eastAsia"/>
        </w:rPr>
        <w:t>三方达成“以国产核心装备支撑先进制造强国战略”的共同愿景；制定合作方质量与知识产权共识声明，承诺技术原创性、可追溯性与责任机制。</w:t>
      </w:r>
    </w:p>
    <w:p w14:paraId="48CE7185">
      <w:pPr>
        <w:pStyle w:val="84"/>
        <w:spacing w:before="120" w:after="120"/>
      </w:pPr>
      <w:r>
        <w:t>业务目标</w:t>
      </w:r>
    </w:p>
    <w:p w14:paraId="2179BDC5">
      <w:pPr>
        <w:pStyle w:val="4"/>
        <w:ind w:firstLine="420"/>
      </w:pPr>
      <w:r>
        <w:rPr>
          <w:rFonts w:hint="eastAsia"/>
        </w:rPr>
        <w:t>三方业务目标高度一致：</w:t>
      </w:r>
    </w:p>
    <w:p w14:paraId="7C47C3AD">
      <w:pPr>
        <w:pStyle w:val="136"/>
      </w:pPr>
      <w:r>
        <w:rPr>
          <w:rFonts w:hint="eastAsia"/>
        </w:rPr>
        <w:t>M企业希望缩短产品交付周期并提升交付精度；</w:t>
      </w:r>
    </w:p>
    <w:p w14:paraId="36B1EADA">
      <w:pPr>
        <w:pStyle w:val="136"/>
      </w:pPr>
      <w:r>
        <w:rPr>
          <w:rFonts w:hint="eastAsia"/>
        </w:rPr>
        <w:t>T公司希望通过本项目进入航天领域供应体系；</w:t>
      </w:r>
    </w:p>
    <w:p w14:paraId="73911BD1">
      <w:pPr>
        <w:pStyle w:val="136"/>
      </w:pPr>
      <w:r>
        <w:rPr>
          <w:rFonts w:hint="eastAsia"/>
        </w:rPr>
        <w:t>F公司则致力于形成柔性制造解决方案的典范项目。</w:t>
      </w:r>
    </w:p>
    <w:p w14:paraId="34F5DF4D">
      <w:pPr>
        <w:pStyle w:val="84"/>
        <w:spacing w:before="120" w:after="120"/>
      </w:pPr>
      <w:r>
        <w:rPr>
          <w:rFonts w:hint="eastAsia"/>
        </w:rPr>
        <w:t>合作的</w:t>
      </w:r>
      <w:r>
        <w:t>领导</w:t>
      </w:r>
      <w:r>
        <w:rPr>
          <w:rFonts w:hint="eastAsia"/>
        </w:rPr>
        <w:t>作用</w:t>
      </w:r>
    </w:p>
    <w:p w14:paraId="0BF3A80C">
      <w:pPr>
        <w:pStyle w:val="4"/>
        <w:ind w:firstLine="420"/>
      </w:pPr>
      <w:r>
        <w:rPr>
          <w:rFonts w:hint="eastAsia"/>
        </w:rPr>
        <w:t>M企业副总工牵头设立“研发-制造融合协调组”，F公司董事长与T公司技术副总定期参与项目审查并提供资源保障与冲突协调。</w:t>
      </w:r>
    </w:p>
    <w:p w14:paraId="0BAB7F49">
      <w:pPr>
        <w:pStyle w:val="84"/>
        <w:spacing w:before="120" w:after="120"/>
      </w:pPr>
      <w:r>
        <w:t>治理</w:t>
      </w:r>
      <w:r>
        <w:rPr>
          <w:rFonts w:hint="eastAsia"/>
        </w:rPr>
        <w:t>和过程</w:t>
      </w:r>
    </w:p>
    <w:p w14:paraId="54BF5ABE">
      <w:pPr>
        <w:pStyle w:val="4"/>
        <w:ind w:firstLine="420"/>
      </w:pPr>
      <w:r>
        <w:rPr>
          <w:rFonts w:hint="eastAsia"/>
        </w:rPr>
        <w:t>三方共编制《关键系统协同制造流程手册》，统一接口、测试标准和关键交付点。同时，M企业将流程嵌入资源计划系统并绑定各方节点任务。</w:t>
      </w:r>
    </w:p>
    <w:p w14:paraId="17678852">
      <w:pPr>
        <w:pStyle w:val="84"/>
        <w:spacing w:before="120" w:after="120"/>
      </w:pPr>
      <w:r>
        <w:rPr>
          <w:rFonts w:hint="eastAsia"/>
        </w:rPr>
        <w:t>合作</w:t>
      </w:r>
      <w:r>
        <w:t>能力</w:t>
      </w:r>
      <w:r>
        <w:rPr>
          <w:rFonts w:hint="eastAsia"/>
        </w:rPr>
        <w:t>和</w:t>
      </w:r>
      <w:r>
        <w:t>行为</w:t>
      </w:r>
    </w:p>
    <w:p w14:paraId="6B08EE8B">
      <w:pPr>
        <w:pStyle w:val="4"/>
        <w:spacing w:before="240" w:after="240"/>
        <w:ind w:firstLine="420"/>
      </w:pPr>
      <w:r>
        <w:rPr>
          <w:rFonts w:hint="eastAsia"/>
        </w:rPr>
        <w:t>T与F工程团队需接受M企业提供的系统集成与控制逻辑培训。所有接口人员签署《协同行为守则》，强调信息透明、响应快速、变更预警等责任要求。</w:t>
      </w:r>
    </w:p>
    <w:p w14:paraId="79E56111">
      <w:pPr>
        <w:pStyle w:val="84"/>
        <w:spacing w:before="120" w:after="120"/>
      </w:pPr>
      <w:r>
        <w:t>信任与</w:t>
      </w:r>
      <w:r>
        <w:rPr>
          <w:rFonts w:hint="eastAsia"/>
        </w:rPr>
        <w:t>共同获益</w:t>
      </w:r>
      <w:r>
        <w:t>承诺</w:t>
      </w:r>
    </w:p>
    <w:p w14:paraId="3FC0205B">
      <w:pPr>
        <w:pStyle w:val="4"/>
        <w:ind w:firstLine="420"/>
      </w:pPr>
      <w:r>
        <w:rPr>
          <w:rFonts w:hint="eastAsia"/>
        </w:rPr>
        <w:t>M企业提前释放部分装配工位供F公司测试调试，T公司允许M企业在其车间设立装配验证中心。所有开发计划公示透明并接受周期评审。</w:t>
      </w:r>
    </w:p>
    <w:p w14:paraId="2909198A">
      <w:pPr>
        <w:pStyle w:val="84"/>
        <w:spacing w:before="120" w:after="120"/>
      </w:pPr>
      <w:r>
        <w:t>价值创造</w:t>
      </w:r>
    </w:p>
    <w:p w14:paraId="252AE41D">
      <w:pPr>
        <w:pStyle w:val="4"/>
        <w:ind w:firstLine="420"/>
      </w:pPr>
      <w:r>
        <w:rPr>
          <w:rFonts w:hint="eastAsia"/>
        </w:rPr>
        <w:t>三方共创出“分布式多驱并联平台”，系统响应提升32%；新型伺服-编码一体化模组被纳入国家重大专项并在行业内推广。三方共享知识产权与认证资质。</w:t>
      </w:r>
    </w:p>
    <w:p w14:paraId="043AEE35">
      <w:pPr>
        <w:pStyle w:val="84"/>
        <w:spacing w:before="120" w:after="120"/>
      </w:pPr>
      <w:r>
        <w:t>信息</w:t>
      </w:r>
      <w:r>
        <w:rPr>
          <w:rFonts w:hint="eastAsia"/>
        </w:rPr>
        <w:t>和</w:t>
      </w:r>
      <w:r>
        <w:t>知识共享</w:t>
      </w:r>
    </w:p>
    <w:p w14:paraId="03428D0B">
      <w:pPr>
        <w:pStyle w:val="4"/>
        <w:ind w:firstLine="420"/>
      </w:pPr>
      <w:r>
        <w:rPr>
          <w:rFonts w:hint="eastAsia"/>
        </w:rPr>
        <w:t>引入基于权限管理的“制造云空间”，自动同步各方设计图纸、故障记录和调试数据；三方共同维护接口知识库和经验案例集。</w:t>
      </w:r>
    </w:p>
    <w:p w14:paraId="65D9222D">
      <w:pPr>
        <w:pStyle w:val="84"/>
        <w:spacing w:before="120" w:after="120"/>
      </w:pPr>
      <w:r>
        <w:t>风险管理</w:t>
      </w:r>
    </w:p>
    <w:p w14:paraId="4D75863A">
      <w:pPr>
        <w:pStyle w:val="4"/>
        <w:ind w:firstLine="420"/>
      </w:pPr>
      <w:r>
        <w:rPr>
          <w:rFonts w:hint="eastAsia"/>
        </w:rPr>
        <w:t>设立协同制造风险清单，包括模块延迟、接口不匹配与专利冲突等，分层级制定应急预案并演练。M企业设有“重大风险直通通报机制”。</w:t>
      </w:r>
    </w:p>
    <w:p w14:paraId="7FA252B9">
      <w:pPr>
        <w:pStyle w:val="84"/>
        <w:spacing w:before="120" w:after="120"/>
      </w:pPr>
      <w:r>
        <w:t>关系测量</w:t>
      </w:r>
      <w:r>
        <w:rPr>
          <w:rFonts w:hint="eastAsia"/>
        </w:rPr>
        <w:t>和</w:t>
      </w:r>
      <w:r>
        <w:t>优化</w:t>
      </w:r>
    </w:p>
    <w:p w14:paraId="66AB56F1">
      <w:pPr>
        <w:pStyle w:val="4"/>
        <w:ind w:firstLine="420"/>
      </w:pPr>
      <w:r>
        <w:rPr>
          <w:rFonts w:hint="eastAsia"/>
        </w:rPr>
        <w:t>每两月开展一次“合作满意度调研”，由M企业第三方质量部主持，并引入改进建议追踪机制。项目实施期内，响应时效提升至平均2小时内处理。</w:t>
      </w:r>
    </w:p>
    <w:p w14:paraId="3FC75FFA">
      <w:pPr>
        <w:pStyle w:val="84"/>
        <w:spacing w:before="120" w:after="120"/>
      </w:pPr>
      <w:r>
        <w:t>退出策略</w:t>
      </w:r>
    </w:p>
    <w:p w14:paraId="022F7F6D">
      <w:pPr>
        <w:pStyle w:val="4"/>
        <w:ind w:firstLine="420"/>
      </w:pPr>
      <w:r>
        <w:rPr>
          <w:rFonts w:hint="eastAsia"/>
        </w:rPr>
        <w:t>项目初期明示技术成果归属与设备资产归还规则；设立退出后接口数据封存与联合品牌授权终止流程，确保后续商业界限清晰。</w:t>
      </w:r>
    </w:p>
    <w:p w14:paraId="1A7B2640">
      <w:pPr>
        <w:pStyle w:val="83"/>
        <w:spacing w:before="120" w:after="120"/>
      </w:pPr>
      <w:r>
        <w:rPr>
          <w:rFonts w:hint="eastAsia"/>
        </w:rPr>
        <w:t>合作成效总结</w:t>
      </w:r>
    </w:p>
    <w:p w14:paraId="1DEF928E">
      <w:pPr>
        <w:pStyle w:val="4"/>
        <w:ind w:firstLine="420"/>
      </w:pPr>
      <w:r>
        <w:rPr>
          <w:rFonts w:hint="eastAsia"/>
        </w:rPr>
        <w:t>通过合作，达成如下合作成效：</w:t>
      </w:r>
    </w:p>
    <w:p w14:paraId="78A89EA9">
      <w:pPr>
        <w:pStyle w:val="136"/>
      </w:pPr>
      <w:r>
        <w:rPr>
          <w:rFonts w:hint="eastAsia"/>
        </w:rPr>
        <w:t>整体交付周期缩短26%，产品一致性合格率达98.7%；</w:t>
      </w:r>
    </w:p>
    <w:p w14:paraId="77DBB506">
      <w:pPr>
        <w:pStyle w:val="136"/>
      </w:pPr>
      <w:r>
        <w:rPr>
          <w:rFonts w:hint="eastAsia"/>
        </w:rPr>
        <w:t>三方协作成果被推荐为地方智能制造标杆示范工程；</w:t>
      </w:r>
    </w:p>
    <w:p w14:paraId="42BC9C4B">
      <w:pPr>
        <w:pStyle w:val="136"/>
      </w:pPr>
      <w:r>
        <w:rPr>
          <w:rFonts w:hint="eastAsia"/>
        </w:rPr>
        <w:t>共同发表高水平合作论文3篇，申请专利5项，形成2项联合技术标准草案；</w:t>
      </w:r>
    </w:p>
    <w:p w14:paraId="0B474177">
      <w:pPr>
        <w:pStyle w:val="136"/>
        <w:sectPr>
          <w:footerReference r:id="rId16" w:type="default"/>
          <w:pgSz w:w="11906" w:h="16838"/>
          <w:pgMar w:top="1928" w:right="1134" w:bottom="1134" w:left="1134" w:header="1418" w:footer="1134" w:gutter="284"/>
          <w:cols w:space="425" w:num="1"/>
          <w:formProt w:val="0"/>
          <w:docGrid w:linePitch="312" w:charSpace="0"/>
        </w:sectPr>
      </w:pPr>
      <w:r>
        <w:rPr>
          <w:rFonts w:hint="eastAsia"/>
        </w:rPr>
        <w:t>M企业已计划与T和F企业共建长期协同研发与智能制造联合中心。</w:t>
      </w:r>
    </w:p>
    <w:p w14:paraId="24101A13">
      <w:pPr>
        <w:pStyle w:val="202"/>
        <w:rPr>
          <w:rFonts w:hint="eastAsia"/>
        </w:rPr>
      </w:pPr>
    </w:p>
    <w:p w14:paraId="2A88E6C5">
      <w:pPr>
        <w:pStyle w:val="203"/>
      </w:pPr>
    </w:p>
    <w:p w14:paraId="183BB277">
      <w:pPr>
        <w:pStyle w:val="81"/>
        <w:spacing w:after="120"/>
      </w:pPr>
      <w:r>
        <w:br w:type="textWrapping"/>
      </w:r>
      <w:bookmarkStart w:id="75" w:name="_Toc203036647"/>
      <w:r>
        <w:rPr>
          <w:rFonts w:hint="eastAsia"/>
        </w:rPr>
        <w:t>（资料性）</w:t>
      </w:r>
      <w:r>
        <w:br w:type="textWrapping"/>
      </w:r>
      <w:r>
        <w:rPr>
          <w:rFonts w:hint="eastAsia"/>
        </w:rPr>
        <w:t>清洁能源链企业供应链合作实践案例</w:t>
      </w:r>
      <w:bookmarkEnd w:id="75"/>
    </w:p>
    <w:p w14:paraId="5B489FF1">
      <w:pPr>
        <w:pStyle w:val="83"/>
        <w:spacing w:before="120" w:after="120"/>
      </w:pPr>
      <w:r>
        <w:rPr>
          <w:rFonts w:hint="eastAsia"/>
        </w:rPr>
        <w:t>案例背景</w:t>
      </w:r>
    </w:p>
    <w:p w14:paraId="3BC2F8A9">
      <w:pPr>
        <w:pStyle w:val="4"/>
        <w:ind w:firstLine="420"/>
      </w:pPr>
      <w:r>
        <w:rPr>
          <w:rFonts w:hint="eastAsia"/>
        </w:rPr>
        <w:t>附录B是以S企业为链主企业的光伏储能一体化协作示范实践案例，其中：</w:t>
      </w:r>
    </w:p>
    <w:p w14:paraId="159C5AC5">
      <w:pPr>
        <w:pStyle w:val="136"/>
      </w:pPr>
      <w:r>
        <w:t>S企业是一家专注于清洁能源解决方案的系统集成商，核心业务包括光伏发电系统、储能系统及其智能调度平台的设计、建设与运维</w:t>
      </w:r>
      <w:r>
        <w:rPr>
          <w:rFonts w:hint="eastAsia"/>
        </w:rPr>
        <w:t>；</w:t>
      </w:r>
    </w:p>
    <w:p w14:paraId="2A52E7D2">
      <w:pPr>
        <w:pStyle w:val="136"/>
      </w:pPr>
      <w:r>
        <w:rPr>
          <w:rFonts w:hint="eastAsia"/>
        </w:rPr>
        <w:t>在新一轮“源网荷储”政策背景下，</w:t>
      </w:r>
      <w:r>
        <w:t>S企业联合上游H公司（高效光伏组件制造商）与下游P公司（工业园区能源管理平台运营商），共同推动“园区级光储直柔一体化”项目实施</w:t>
      </w:r>
      <w:r>
        <w:rPr>
          <w:rFonts w:hint="eastAsia"/>
        </w:rPr>
        <w:t>；</w:t>
      </w:r>
    </w:p>
    <w:p w14:paraId="49943C3B">
      <w:pPr>
        <w:pStyle w:val="136"/>
      </w:pPr>
      <w:r>
        <w:rPr>
          <w:rFonts w:hint="eastAsia"/>
        </w:rPr>
        <w:t>三方</w:t>
      </w:r>
      <w:r>
        <w:t>构建了互信互利、协同共赢的清洁能源合作生态，形成可复制的区域能源转型模式。</w:t>
      </w:r>
    </w:p>
    <w:p w14:paraId="56D76E36">
      <w:pPr>
        <w:pStyle w:val="83"/>
        <w:spacing w:before="120" w:after="120"/>
      </w:pPr>
      <w:r>
        <w:rPr>
          <w:rFonts w:hint="eastAsia"/>
        </w:rPr>
        <w:t>合作原则落地实践</w:t>
      </w:r>
    </w:p>
    <w:p w14:paraId="77B02D8B">
      <w:pPr>
        <w:pStyle w:val="84"/>
        <w:spacing w:before="120" w:after="120"/>
      </w:pPr>
      <w:r>
        <w:rPr>
          <w:rFonts w:hint="eastAsia"/>
        </w:rPr>
        <w:t>关系管理</w:t>
      </w:r>
    </w:p>
    <w:p w14:paraId="433D7598">
      <w:pPr>
        <w:pStyle w:val="4"/>
        <w:ind w:firstLine="420"/>
      </w:pPr>
      <w:r>
        <w:rPr>
          <w:rFonts w:hint="eastAsia"/>
        </w:rPr>
        <w:t>三方建立“光储一体化协作办公室”，按系统设计、设备集成、现场部署三个阶段设立责任小组。平台统一信息接口、进度管理与任务分派，实现项目闭环协同。</w:t>
      </w:r>
    </w:p>
    <w:p w14:paraId="3CD01379">
      <w:pPr>
        <w:pStyle w:val="84"/>
        <w:spacing w:before="120" w:after="120"/>
      </w:pPr>
      <w:r>
        <w:rPr>
          <w:rFonts w:hint="eastAsia"/>
        </w:rPr>
        <w:t>愿景和价值观</w:t>
      </w:r>
    </w:p>
    <w:p w14:paraId="31359011">
      <w:pPr>
        <w:pStyle w:val="4"/>
        <w:ind w:firstLine="420"/>
      </w:pPr>
      <w:r>
        <w:rPr>
          <w:rFonts w:hint="eastAsia"/>
        </w:rPr>
        <w:t>以“共建零碳园区、共促绿色经济”为共同愿景，签署《绿色伙伴承诺书》，明确环境合规、能效标准、信息公开和可持续发展责任。</w:t>
      </w:r>
    </w:p>
    <w:p w14:paraId="1587EB0B">
      <w:pPr>
        <w:pStyle w:val="84"/>
        <w:spacing w:before="120" w:after="120"/>
      </w:pPr>
      <w:r>
        <w:rPr>
          <w:rFonts w:hint="eastAsia"/>
        </w:rPr>
        <w:t>业务目标</w:t>
      </w:r>
    </w:p>
    <w:p w14:paraId="0D3F4E99">
      <w:pPr>
        <w:pStyle w:val="4"/>
        <w:ind w:firstLine="420"/>
      </w:pPr>
      <w:r>
        <w:rPr>
          <w:rFonts w:hint="eastAsia"/>
        </w:rPr>
        <w:t>三方业务目标高度一致，聚焦打造可展示、可测评、可推广的样板工程：</w:t>
      </w:r>
    </w:p>
    <w:p w14:paraId="664D1EC2">
      <w:pPr>
        <w:pStyle w:val="136"/>
      </w:pPr>
      <w:r>
        <w:rPr>
          <w:rFonts w:hint="eastAsia"/>
        </w:rPr>
        <w:t>S企业：扩大市场布局与方案复制能力；</w:t>
      </w:r>
    </w:p>
    <w:p w14:paraId="4FE37A77">
      <w:pPr>
        <w:pStyle w:val="136"/>
      </w:pPr>
      <w:r>
        <w:rPr>
          <w:rFonts w:hint="eastAsia"/>
        </w:rPr>
        <w:t>H公司：推动新型异质结技术规模应用；</w:t>
      </w:r>
    </w:p>
    <w:p w14:paraId="3785D73A">
      <w:pPr>
        <w:pStyle w:val="136"/>
      </w:pPr>
      <w:r>
        <w:rPr>
          <w:rFonts w:hint="eastAsia"/>
        </w:rPr>
        <w:t>P公司：提升平台稳定性与节能成效。</w:t>
      </w:r>
    </w:p>
    <w:p w14:paraId="1A50AF8F">
      <w:pPr>
        <w:pStyle w:val="84"/>
        <w:spacing w:before="120" w:after="120"/>
      </w:pPr>
      <w:r>
        <w:rPr>
          <w:rFonts w:hint="eastAsia"/>
        </w:rPr>
        <w:t>合作的领导作用</w:t>
      </w:r>
    </w:p>
    <w:p w14:paraId="43745CE1">
      <w:pPr>
        <w:pStyle w:val="4"/>
        <w:ind w:firstLine="420"/>
      </w:pPr>
      <w:r>
        <w:rPr>
          <w:rFonts w:hint="eastAsia"/>
        </w:rPr>
        <w:t>由S企业副总裁牵头，设立三方高层对接机制，每季度召开“绿色项目战略推进会”；P公司所在园区政府代表亦列席参与规划协同。</w:t>
      </w:r>
    </w:p>
    <w:p w14:paraId="246BBB05">
      <w:pPr>
        <w:pStyle w:val="84"/>
        <w:spacing w:before="120" w:after="120"/>
      </w:pPr>
      <w:r>
        <w:rPr>
          <w:rFonts w:hint="eastAsia"/>
        </w:rPr>
        <w:t>治理和过程</w:t>
      </w:r>
    </w:p>
    <w:p w14:paraId="22CAA53D">
      <w:pPr>
        <w:pStyle w:val="4"/>
        <w:ind w:firstLine="420"/>
      </w:pPr>
      <w:r>
        <w:rPr>
          <w:rFonts w:hint="eastAsia"/>
        </w:rPr>
        <w:t>制定“光储一体化协作流程图谱”，明确光伏、电池、逆变、调度等各模块的接口规范与交付标准，嵌入S企业EPC项目流程管理平台。</w:t>
      </w:r>
    </w:p>
    <w:p w14:paraId="53F27FE3">
      <w:pPr>
        <w:pStyle w:val="84"/>
        <w:spacing w:before="120" w:after="120"/>
      </w:pPr>
      <w:r>
        <w:rPr>
          <w:rFonts w:hint="eastAsia"/>
        </w:rPr>
        <w:t>合作能力和行为</w:t>
      </w:r>
    </w:p>
    <w:p w14:paraId="36F81283">
      <w:pPr>
        <w:pStyle w:val="4"/>
        <w:ind w:firstLine="420"/>
      </w:pPr>
      <w:r>
        <w:rPr>
          <w:rFonts w:hint="eastAsia"/>
        </w:rPr>
        <w:t>组织交叉培训营，H公司设备工程师、P公司调度工程师深入S企业运维一线实训，推动语言统一、协作默契与行为共识建设。</w:t>
      </w:r>
    </w:p>
    <w:p w14:paraId="192115D6">
      <w:pPr>
        <w:pStyle w:val="84"/>
        <w:spacing w:before="120" w:after="120"/>
      </w:pPr>
      <w:r>
        <w:rPr>
          <w:rFonts w:hint="eastAsia"/>
        </w:rPr>
        <w:t>互信与共同获益承诺</w:t>
      </w:r>
    </w:p>
    <w:p w14:paraId="6F8D1338">
      <w:pPr>
        <w:pStyle w:val="4"/>
        <w:ind w:firstLine="420"/>
      </w:pPr>
      <w:r>
        <w:rPr>
          <w:rFonts w:hint="eastAsia"/>
        </w:rPr>
        <w:t>H公司为项目开设专线工厂保障产能，S企业则为P公司提供免费智能能源顾问服务。各方承诺延迟响应扣减服务积分，以约束履约态度。</w:t>
      </w:r>
    </w:p>
    <w:p w14:paraId="254F7B93">
      <w:pPr>
        <w:pStyle w:val="84"/>
        <w:spacing w:before="120" w:after="120"/>
      </w:pPr>
      <w:r>
        <w:rPr>
          <w:rFonts w:hint="eastAsia"/>
        </w:rPr>
        <w:t>价值创造</w:t>
      </w:r>
    </w:p>
    <w:p w14:paraId="410EC188">
      <w:pPr>
        <w:pStyle w:val="4"/>
        <w:ind w:firstLine="420"/>
      </w:pPr>
      <w:r>
        <w:rPr>
          <w:rFonts w:hint="eastAsia"/>
        </w:rPr>
        <w:t>通过协同优化，光伏系统能效提升4.3%，系统安装周期压缩18天；创新“光储预测+能效动态优化模型”，被写入省级绿色园区能效指引。</w:t>
      </w:r>
    </w:p>
    <w:p w14:paraId="75447F28">
      <w:pPr>
        <w:pStyle w:val="84"/>
        <w:spacing w:before="120" w:after="120"/>
      </w:pPr>
      <w:r>
        <w:rPr>
          <w:rFonts w:hint="eastAsia"/>
        </w:rPr>
        <w:t>信息和知识共享</w:t>
      </w:r>
    </w:p>
    <w:p w14:paraId="2F88B1AC">
      <w:pPr>
        <w:pStyle w:val="4"/>
        <w:ind w:firstLine="420"/>
      </w:pPr>
      <w:r>
        <w:rPr>
          <w:rFonts w:hint="eastAsia"/>
        </w:rPr>
        <w:t>建立“绿色数据池”，集成系统状态、用户负荷、天气预测、设备日志等数据，三方授权数据互查互用，形成实时联动的“绿色神经系统”。</w:t>
      </w:r>
    </w:p>
    <w:p w14:paraId="5FCF09AE">
      <w:pPr>
        <w:pStyle w:val="84"/>
        <w:spacing w:before="120" w:after="120"/>
      </w:pPr>
      <w:r>
        <w:rPr>
          <w:rFonts w:hint="eastAsia"/>
        </w:rPr>
        <w:t>风险管理</w:t>
      </w:r>
    </w:p>
    <w:p w14:paraId="4CD7B220">
      <w:pPr>
        <w:pStyle w:val="4"/>
        <w:ind w:firstLine="420"/>
      </w:pPr>
      <w:r>
        <w:rPr>
          <w:rFonts w:hint="eastAsia"/>
        </w:rPr>
        <w:t>识别主要风险点如电价波动、政策调整、并网审批延迟等，建立共享“能源项目风险库”，并设有滚动评估与分工响应制度。</w:t>
      </w:r>
    </w:p>
    <w:p w14:paraId="24B344A2">
      <w:pPr>
        <w:pStyle w:val="84"/>
        <w:spacing w:before="120" w:after="120"/>
      </w:pPr>
      <w:r>
        <w:rPr>
          <w:rFonts w:hint="eastAsia"/>
        </w:rPr>
        <w:t>关系测量和优化</w:t>
      </w:r>
    </w:p>
    <w:p w14:paraId="5F928F14">
      <w:pPr>
        <w:pStyle w:val="4"/>
        <w:ind w:firstLine="420"/>
      </w:pPr>
      <w:r>
        <w:rPr>
          <w:rFonts w:hint="eastAsia"/>
        </w:rPr>
        <w:t>双月发布《合作健康度雷达图》，从信任度、问题响应、节能成效等7项维度评分，推动透明管理与持续改进。</w:t>
      </w:r>
    </w:p>
    <w:p w14:paraId="48016485">
      <w:pPr>
        <w:pStyle w:val="84"/>
        <w:spacing w:before="120" w:after="120"/>
      </w:pPr>
      <w:r>
        <w:rPr>
          <w:rFonts w:hint="eastAsia"/>
        </w:rPr>
        <w:t>退出策略</w:t>
      </w:r>
    </w:p>
    <w:p w14:paraId="60013EBE">
      <w:pPr>
        <w:pStyle w:val="4"/>
        <w:ind w:firstLine="420"/>
      </w:pPr>
      <w:r>
        <w:rPr>
          <w:rFonts w:hint="eastAsia"/>
        </w:rPr>
        <w:t>约定合作终止场景，例如，项目运营权移交、核心部件淘汰等，制定资产移交、服务接续与数据封存机制，保障业务平稳退出与客户利益不受损。</w:t>
      </w:r>
    </w:p>
    <w:p w14:paraId="2AD0DBB6">
      <w:pPr>
        <w:pStyle w:val="83"/>
        <w:spacing w:before="120" w:after="120"/>
      </w:pPr>
      <w:r>
        <w:rPr>
          <w:rFonts w:hint="eastAsia"/>
        </w:rPr>
        <w:t>合作成效总结</w:t>
      </w:r>
    </w:p>
    <w:p w14:paraId="437357B9">
      <w:pPr>
        <w:pStyle w:val="4"/>
        <w:ind w:firstLine="420"/>
      </w:pPr>
      <w:r>
        <w:rPr>
          <w:rFonts w:hint="eastAsia"/>
        </w:rPr>
        <w:t>通过合作，达成如下合作成效：</w:t>
      </w:r>
    </w:p>
    <w:p w14:paraId="2989A30B">
      <w:pPr>
        <w:pStyle w:val="136"/>
      </w:pPr>
      <w:r>
        <w:t>系统综合节能效率提升约11%，园区碳排强度降低15%；</w:t>
      </w:r>
    </w:p>
    <w:p w14:paraId="2040B33E">
      <w:pPr>
        <w:pStyle w:val="136"/>
      </w:pPr>
      <w:r>
        <w:t>三方协作模型被评为“国家绿色制造示范项目”核心支撑机制；</w:t>
      </w:r>
    </w:p>
    <w:p w14:paraId="6D29079F">
      <w:pPr>
        <w:pStyle w:val="136"/>
      </w:pPr>
      <w:r>
        <w:t>H公司产品成功进入S企业</w:t>
      </w:r>
      <w:r>
        <w:rPr>
          <w:rFonts w:hint="eastAsia"/>
        </w:rPr>
        <w:t>“</w:t>
      </w:r>
      <w:r>
        <w:t>战略核心供应商目录</w:t>
      </w:r>
      <w:r>
        <w:rPr>
          <w:rFonts w:hint="eastAsia"/>
        </w:rPr>
        <w:t>”</w:t>
      </w:r>
      <w:r>
        <w:t>，P公司平台并入S企业后续多个城市项目计划；</w:t>
      </w:r>
    </w:p>
    <w:p w14:paraId="5A163E25">
      <w:pPr>
        <w:pStyle w:val="136"/>
      </w:pPr>
      <w:r>
        <w:t>S企业计划将此合作模式推广至至少10个新设产业园区。</w:t>
      </w:r>
    </w:p>
    <w:p w14:paraId="2B738269">
      <w:pPr>
        <w:pStyle w:val="4"/>
        <w:ind w:firstLine="420"/>
        <w:sectPr>
          <w:pgSz w:w="11906" w:h="16838"/>
          <w:pgMar w:top="1928" w:right="1134" w:bottom="1134" w:left="1134" w:header="1418" w:footer="1134" w:gutter="284"/>
          <w:cols w:space="425" w:num="1"/>
          <w:formProt w:val="0"/>
          <w:docGrid w:linePitch="312" w:charSpace="0"/>
        </w:sectPr>
      </w:pPr>
    </w:p>
    <w:p w14:paraId="48C640C9">
      <w:pPr>
        <w:pStyle w:val="202"/>
        <w:rPr>
          <w:rFonts w:hint="eastAsia"/>
        </w:rPr>
      </w:pPr>
    </w:p>
    <w:p w14:paraId="56E862A1">
      <w:pPr>
        <w:pStyle w:val="203"/>
      </w:pPr>
    </w:p>
    <w:p w14:paraId="2AB6EB8F">
      <w:pPr>
        <w:pStyle w:val="81"/>
        <w:spacing w:after="120"/>
      </w:pPr>
      <w:r>
        <w:br w:type="textWrapping"/>
      </w:r>
      <w:bookmarkStart w:id="76" w:name="_Toc203036648"/>
      <w:r>
        <w:rPr>
          <w:rFonts w:hint="eastAsia"/>
        </w:rPr>
        <w:t>（资料性）</w:t>
      </w:r>
      <w:r>
        <w:br w:type="textWrapping"/>
      </w:r>
      <w:r>
        <w:rPr>
          <w:rFonts w:hint="eastAsia"/>
        </w:rPr>
        <w:t>智能汽车链企业供应链合作实践案例</w:t>
      </w:r>
      <w:bookmarkEnd w:id="76"/>
    </w:p>
    <w:p w14:paraId="1DCF5459">
      <w:pPr>
        <w:pStyle w:val="83"/>
        <w:spacing w:before="120" w:after="120"/>
      </w:pPr>
      <w:r>
        <w:rPr>
          <w:rFonts w:hint="eastAsia"/>
        </w:rPr>
        <w:t>案例背景</w:t>
      </w:r>
    </w:p>
    <w:p w14:paraId="51995A80">
      <w:pPr>
        <w:pStyle w:val="4"/>
        <w:ind w:firstLine="420"/>
      </w:pPr>
      <w:r>
        <w:rPr>
          <w:rFonts w:hint="eastAsia"/>
        </w:rPr>
        <w:t>附录C是以A企业为链主企业的多方协同合作实践案例，其中：</w:t>
      </w:r>
    </w:p>
    <w:p w14:paraId="35E3A6C3">
      <w:pPr>
        <w:pStyle w:val="4"/>
        <w:ind w:firstLine="420"/>
      </w:pPr>
      <w:r>
        <w:t>A企业是一家专注于智能网联新能源汽车的整车制造商（</w:t>
      </w:r>
      <w:r>
        <w:rPr>
          <w:rFonts w:hint="eastAsia"/>
        </w:rPr>
        <w:t>链主</w:t>
      </w:r>
      <w:r>
        <w:t>企业），在推动智能化整车平台开发中，A企业联合其上游企业（B公司，专注智能传感器模组设计）、下游企业（C公司，全国性智能出行平台运营商）共同打造“安全、智能、高效”的电动智能出行解决方案。</w:t>
      </w:r>
    </w:p>
    <w:p w14:paraId="798144CD">
      <w:pPr>
        <w:pStyle w:val="4"/>
        <w:ind w:firstLine="420"/>
      </w:pPr>
      <w:r>
        <w:rPr>
          <w:rFonts w:hint="eastAsia"/>
        </w:rPr>
        <w:t>为提升项目协同效率、控制产业链风险并实现共同市场突破，三方采用了《</w:t>
      </w:r>
      <w:r>
        <w:t>ISO/TR 44000 合作关系管理原则》，推动在研产销全链条的关系管理标准化、合作文化一体化与价值创造机制化。</w:t>
      </w:r>
    </w:p>
    <w:p w14:paraId="6F3974FD">
      <w:pPr>
        <w:pStyle w:val="83"/>
        <w:spacing w:before="120" w:after="120"/>
      </w:pPr>
      <w:r>
        <w:rPr>
          <w:rFonts w:hint="eastAsia"/>
        </w:rPr>
        <w:t>合作原则落地实践</w:t>
      </w:r>
    </w:p>
    <w:p w14:paraId="0A4A0C51">
      <w:pPr>
        <w:pStyle w:val="84"/>
        <w:spacing w:before="120" w:after="120"/>
      </w:pPr>
      <w:r>
        <w:t>关系管理</w:t>
      </w:r>
    </w:p>
    <w:p w14:paraId="55C74362">
      <w:pPr>
        <w:pStyle w:val="4"/>
        <w:ind w:firstLine="420"/>
      </w:pPr>
      <w:r>
        <w:rPr>
          <w:rFonts w:hint="eastAsia"/>
        </w:rPr>
        <w:t>三方建立了联合项目办公室，明确责任人及常态沟通机制（如每周技术同步会、每月风险通报会）。项目全流程信息归档纳入</w:t>
      </w:r>
      <w:r>
        <w:t>A企业“智能协同平台”，实现版本可追溯与透明管控。</w:t>
      </w:r>
    </w:p>
    <w:p w14:paraId="5870FD23">
      <w:pPr>
        <w:pStyle w:val="84"/>
        <w:spacing w:before="120" w:after="120"/>
      </w:pPr>
      <w:r>
        <w:t>愿景</w:t>
      </w:r>
      <w:r>
        <w:rPr>
          <w:rFonts w:hint="eastAsia"/>
        </w:rPr>
        <w:t>和</w:t>
      </w:r>
      <w:r>
        <w:t>价值观</w:t>
      </w:r>
    </w:p>
    <w:p w14:paraId="01AC0F32">
      <w:pPr>
        <w:pStyle w:val="4"/>
        <w:ind w:firstLine="420"/>
      </w:pPr>
      <w:r>
        <w:rPr>
          <w:rFonts w:hint="eastAsia"/>
        </w:rPr>
        <w:t>合作启动阶段组织了三方“愿景共创研讨会”，共同确认以“零事故、低碳出行、用户导向”为共识愿景。</w:t>
      </w:r>
      <w:r>
        <w:t>B公司主动适配A企业的绿色供应链政策；C公司承诺用车平台100%展示“智能安全等级”评级结果。</w:t>
      </w:r>
    </w:p>
    <w:p w14:paraId="40CF9EB9">
      <w:pPr>
        <w:pStyle w:val="84"/>
        <w:spacing w:before="120" w:after="120"/>
      </w:pPr>
      <w:r>
        <w:t>业务目标</w:t>
      </w:r>
    </w:p>
    <w:p w14:paraId="20ABF7D7">
      <w:pPr>
        <w:pStyle w:val="4"/>
        <w:ind w:firstLine="420"/>
      </w:pPr>
      <w:r>
        <w:rPr>
          <w:rFonts w:hint="eastAsia"/>
        </w:rPr>
        <w:t>各方对齐核心目标：</w:t>
      </w:r>
    </w:p>
    <w:p w14:paraId="046080AF">
      <w:pPr>
        <w:pStyle w:val="4"/>
        <w:ind w:firstLine="420"/>
      </w:pPr>
      <w:r>
        <w:t>A企业聚焦智能系统集成与安全标准化；</w:t>
      </w:r>
    </w:p>
    <w:p w14:paraId="51118536">
      <w:pPr>
        <w:pStyle w:val="4"/>
        <w:ind w:firstLine="420"/>
      </w:pPr>
      <w:r>
        <w:t>B公司将项目视为进入Tier1战略客户；</w:t>
      </w:r>
    </w:p>
    <w:p w14:paraId="0FF490D0">
      <w:pPr>
        <w:pStyle w:val="4"/>
        <w:ind w:firstLine="420"/>
      </w:pPr>
      <w:r>
        <w:t>C公司希望差异化服务赢得用户粘性。</w:t>
      </w:r>
    </w:p>
    <w:p w14:paraId="7808E377">
      <w:pPr>
        <w:pStyle w:val="4"/>
        <w:ind w:firstLine="420"/>
      </w:pPr>
      <w:r>
        <w:t>三方联合制定了智能网联车落地推广计划，计划覆盖10个重点城市。</w:t>
      </w:r>
    </w:p>
    <w:p w14:paraId="080B4F49">
      <w:pPr>
        <w:pStyle w:val="84"/>
        <w:spacing w:before="120" w:after="120"/>
      </w:pPr>
      <w:r>
        <w:rPr>
          <w:rFonts w:hint="eastAsia"/>
        </w:rPr>
        <w:t>合作的</w:t>
      </w:r>
      <w:r>
        <w:t>领导</w:t>
      </w:r>
      <w:r>
        <w:rPr>
          <w:rFonts w:hint="eastAsia"/>
        </w:rPr>
        <w:t>作用</w:t>
      </w:r>
    </w:p>
    <w:p w14:paraId="34ED4B28">
      <w:pPr>
        <w:pStyle w:val="4"/>
        <w:ind w:firstLine="420"/>
      </w:pPr>
      <w:r>
        <w:rPr>
          <w:rFonts w:hint="eastAsia"/>
        </w:rPr>
        <w:t>三方各指派一名高层担任“项目执行联络官”，并每季度共同主持“合作高层共识会议”，确保方向一致。</w:t>
      </w:r>
      <w:r>
        <w:t>A企业董事长亲自参与首批试运营启动仪式，展示组织级支持。</w:t>
      </w:r>
    </w:p>
    <w:p w14:paraId="0E691ABF">
      <w:pPr>
        <w:pStyle w:val="84"/>
        <w:spacing w:before="120" w:after="120"/>
      </w:pPr>
      <w:r>
        <w:t>治理</w:t>
      </w:r>
      <w:r>
        <w:rPr>
          <w:rFonts w:hint="eastAsia"/>
        </w:rPr>
        <w:t>和过程</w:t>
      </w:r>
    </w:p>
    <w:p w14:paraId="7133C35C">
      <w:pPr>
        <w:pStyle w:val="4"/>
        <w:ind w:firstLine="420"/>
      </w:pPr>
      <w:r>
        <w:rPr>
          <w:rFonts w:hint="eastAsia"/>
        </w:rPr>
        <w:t>三方共建了“智能出行合作管理白皮书”，将接口流程、变更管理、协同开发规范标准化。</w:t>
      </w:r>
      <w:r>
        <w:t>C公司开发团队并入A企业的开发节奏，实现跨组织“联调联测”。</w:t>
      </w:r>
    </w:p>
    <w:p w14:paraId="69DAA68B">
      <w:pPr>
        <w:pStyle w:val="84"/>
        <w:spacing w:before="120" w:after="120"/>
      </w:pPr>
      <w:r>
        <w:rPr>
          <w:rFonts w:hint="eastAsia"/>
        </w:rPr>
        <w:t>合作</w:t>
      </w:r>
      <w:r>
        <w:t>能力</w:t>
      </w:r>
      <w:r>
        <w:rPr>
          <w:rFonts w:hint="eastAsia"/>
        </w:rPr>
        <w:t>和</w:t>
      </w:r>
      <w:r>
        <w:t>行为</w:t>
      </w:r>
    </w:p>
    <w:p w14:paraId="043401BC">
      <w:pPr>
        <w:pStyle w:val="4"/>
        <w:ind w:firstLine="420"/>
      </w:pPr>
      <w:r>
        <w:t>A企业为上下游提供“整车协同开发训练营”，聚焦智能整车系统耦合、敏捷交付、沟通文化。C公司设有专人负责用户反馈对接机制，B公司工程团队可实时进入测试工厂现场调试。</w:t>
      </w:r>
    </w:p>
    <w:p w14:paraId="5A33379A">
      <w:pPr>
        <w:pStyle w:val="84"/>
        <w:spacing w:before="120" w:after="120"/>
      </w:pPr>
      <w:r>
        <w:t>信任与</w:t>
      </w:r>
      <w:r>
        <w:rPr>
          <w:rFonts w:hint="eastAsia"/>
        </w:rPr>
        <w:t>共同获益</w:t>
      </w:r>
      <w:r>
        <w:t>承诺</w:t>
      </w:r>
    </w:p>
    <w:p w14:paraId="79E8F286">
      <w:pPr>
        <w:pStyle w:val="4"/>
        <w:ind w:firstLine="420"/>
      </w:pPr>
      <w:r>
        <w:rPr>
          <w:rFonts w:hint="eastAsia"/>
        </w:rPr>
        <w:t>项目初期通过“智能安全小试点”快速构建信任基础，</w:t>
      </w:r>
      <w:r>
        <w:t>B公司提前交付一批关键芯片用于验证，A企业提前支付部分研发投入。C公司对用户承诺透明展示智能车系统性能数据。</w:t>
      </w:r>
    </w:p>
    <w:p w14:paraId="78ACE7E0">
      <w:pPr>
        <w:pStyle w:val="84"/>
        <w:spacing w:before="120" w:after="120"/>
      </w:pPr>
      <w:r>
        <w:t>价值创造</w:t>
      </w:r>
    </w:p>
    <w:p w14:paraId="1C487D7B">
      <w:pPr>
        <w:pStyle w:val="4"/>
        <w:ind w:firstLine="420"/>
      </w:pPr>
      <w:r>
        <w:rPr>
          <w:rFonts w:hint="eastAsia"/>
        </w:rPr>
        <w:t>三方联合设计了“智能车用户驾驶行为分析模型”，不仅提升车辆调度效率，还反向优化传感器参数设置。该模型已形成专利申请，由三方共享知识产权与商业应用收益。</w:t>
      </w:r>
    </w:p>
    <w:p w14:paraId="240289F6">
      <w:pPr>
        <w:pStyle w:val="84"/>
        <w:spacing w:before="120" w:after="120"/>
      </w:pPr>
      <w:r>
        <w:t>信息</w:t>
      </w:r>
      <w:r>
        <w:rPr>
          <w:rFonts w:hint="eastAsia"/>
        </w:rPr>
        <w:t>和</w:t>
      </w:r>
      <w:r>
        <w:t>知识共享</w:t>
      </w:r>
    </w:p>
    <w:p w14:paraId="107377A4">
      <w:pPr>
        <w:pStyle w:val="4"/>
        <w:ind w:firstLine="420"/>
      </w:pPr>
      <w:r>
        <w:rPr>
          <w:rFonts w:hint="eastAsia"/>
        </w:rPr>
        <w:t>三方在</w:t>
      </w:r>
      <w:r>
        <w:t>A企业“智能云协作平台”中建立权限化数据共享机制，定期上传设计参数、用户使用数据、故障分析报告，支持开发迭代。平台支持数字签名与审计追溯。</w:t>
      </w:r>
    </w:p>
    <w:p w14:paraId="38C176D1">
      <w:pPr>
        <w:pStyle w:val="84"/>
        <w:spacing w:before="120" w:after="120"/>
      </w:pPr>
      <w:r>
        <w:t>风险管理</w:t>
      </w:r>
    </w:p>
    <w:p w14:paraId="70F7F827">
      <w:pPr>
        <w:pStyle w:val="4"/>
        <w:ind w:firstLine="420"/>
      </w:pPr>
      <w:r>
        <w:rPr>
          <w:rFonts w:hint="eastAsia"/>
        </w:rPr>
        <w:t>项目启动即编制“智能车项目联合风险清单”，并设立红黄绿等级监控机制。如芯片短缺预警由</w:t>
      </w:r>
      <w:r>
        <w:t>B公司提前推送，A企业和C公司快速制定替代方案与交付调整策略。</w:t>
      </w:r>
    </w:p>
    <w:p w14:paraId="73F7F444">
      <w:pPr>
        <w:pStyle w:val="84"/>
        <w:spacing w:before="120" w:after="120"/>
      </w:pPr>
      <w:r>
        <w:t>关系测量</w:t>
      </w:r>
      <w:r>
        <w:rPr>
          <w:rFonts w:hint="eastAsia"/>
        </w:rPr>
        <w:t>和</w:t>
      </w:r>
      <w:r>
        <w:t>优化</w:t>
      </w:r>
    </w:p>
    <w:p w14:paraId="0A62B78A">
      <w:pPr>
        <w:pStyle w:val="4"/>
        <w:ind w:firstLine="420"/>
      </w:pPr>
      <w:r>
        <w:rPr>
          <w:rFonts w:hint="eastAsia"/>
        </w:rPr>
        <w:t>每半年一次“合作健康度评估”由第三方执行，包括满意度、响应时效、协同指数等维度。评估报告反馈后，各方均制定改进计划，如优化反馈响应机制、缩短联合测试周期。</w:t>
      </w:r>
    </w:p>
    <w:p w14:paraId="0827CCBA">
      <w:pPr>
        <w:pStyle w:val="84"/>
        <w:spacing w:before="120" w:after="120"/>
      </w:pPr>
      <w:r>
        <w:t>退出策略</w:t>
      </w:r>
    </w:p>
    <w:p w14:paraId="79E5B9C2">
      <w:pPr>
        <w:pStyle w:val="4"/>
        <w:ind w:firstLine="420"/>
      </w:pPr>
      <w:r>
        <w:rPr>
          <w:rFonts w:hint="eastAsia"/>
        </w:rPr>
        <w:t>项目协议中设有“平稳退出条款”，如提前通知期、数据资产交接规范、共同知识产权使用限制等，确保即便因商业原因调整，也不影响存量用户服务与品牌连续性。</w:t>
      </w:r>
    </w:p>
    <w:p w14:paraId="7D143E89">
      <w:pPr>
        <w:pStyle w:val="83"/>
        <w:spacing w:before="120" w:after="120"/>
      </w:pPr>
      <w:r>
        <w:rPr>
          <w:rFonts w:hint="eastAsia"/>
        </w:rPr>
        <w:t>合作成效总结</w:t>
      </w:r>
    </w:p>
    <w:p w14:paraId="4098EB19">
      <w:pPr>
        <w:pStyle w:val="4"/>
        <w:ind w:firstLine="420"/>
      </w:pPr>
      <w:r>
        <w:rPr>
          <w:rFonts w:hint="eastAsia"/>
        </w:rPr>
        <w:t>通过合作，达成如下合作成效：</w:t>
      </w:r>
    </w:p>
    <w:p w14:paraId="0CAFFFBD">
      <w:pPr>
        <w:pStyle w:val="136"/>
      </w:pPr>
      <w:r>
        <w:t>产品研发周期缩短22%，协同平台推动版本控制效率提升；</w:t>
      </w:r>
    </w:p>
    <w:p w14:paraId="56F2B3C6">
      <w:pPr>
        <w:pStyle w:val="136"/>
      </w:pPr>
      <w:r>
        <w:t>智能传感器稳定性提升17%，用户驾驶行为识别准确率提升26%；</w:t>
      </w:r>
    </w:p>
    <w:p w14:paraId="37E7A306">
      <w:pPr>
        <w:pStyle w:val="136"/>
      </w:pPr>
      <w:r>
        <w:t>项目获得两项共同专利，覆盖城市上线运营车辆突破8000辆；</w:t>
      </w:r>
    </w:p>
    <w:p w14:paraId="4C65ECD4">
      <w:pPr>
        <w:pStyle w:val="136"/>
      </w:pPr>
      <w:r>
        <w:t>三方计划将此合作机制复制至未来</w:t>
      </w:r>
      <w:r>
        <w:rPr>
          <w:rFonts w:hint="eastAsia"/>
        </w:rPr>
        <w:t>“</w:t>
      </w:r>
      <w:r>
        <w:t>城市智慧交通共同体</w:t>
      </w:r>
      <w:r>
        <w:rPr>
          <w:rFonts w:hint="eastAsia"/>
        </w:rPr>
        <w:t>”</w:t>
      </w:r>
      <w:r>
        <w:t>项目。</w:t>
      </w:r>
    </w:p>
    <w:p w14:paraId="4303F33C">
      <w:pPr>
        <w:pStyle w:val="4"/>
        <w:ind w:firstLine="420"/>
      </w:pPr>
    </w:p>
    <w:p w14:paraId="6B76E3A5">
      <w:pPr>
        <w:pStyle w:val="4"/>
        <w:ind w:firstLine="420"/>
      </w:pPr>
    </w:p>
    <w:p w14:paraId="6B31084E">
      <w:pPr>
        <w:pStyle w:val="4"/>
        <w:ind w:firstLine="420"/>
        <w:sectPr>
          <w:pgSz w:w="11906" w:h="16838"/>
          <w:pgMar w:top="1928" w:right="1134" w:bottom="1134" w:left="1134" w:header="1418" w:footer="1134" w:gutter="284"/>
          <w:cols w:space="425" w:num="1"/>
          <w:formProt w:val="0"/>
          <w:docGrid w:linePitch="312" w:charSpace="0"/>
        </w:sectPr>
      </w:pPr>
    </w:p>
    <w:p w14:paraId="0C839B6B">
      <w:pPr>
        <w:pStyle w:val="202"/>
        <w:rPr>
          <w:rFonts w:hint="eastAsia"/>
        </w:rPr>
      </w:pPr>
    </w:p>
    <w:p w14:paraId="14B1890E">
      <w:pPr>
        <w:pStyle w:val="203"/>
      </w:pPr>
    </w:p>
    <w:p w14:paraId="65C2EB35">
      <w:pPr>
        <w:pStyle w:val="81"/>
        <w:spacing w:after="120"/>
      </w:pPr>
      <w:r>
        <w:br w:type="textWrapping"/>
      </w:r>
      <w:bookmarkStart w:id="77" w:name="_Toc203036649"/>
      <w:r>
        <w:rPr>
          <w:rFonts w:hint="eastAsia"/>
        </w:rPr>
        <w:t>（资料性）</w:t>
      </w:r>
      <w:r>
        <w:br w:type="textWrapping"/>
      </w:r>
      <w:r>
        <w:rPr>
          <w:rFonts w:hint="eastAsia"/>
        </w:rPr>
        <w:t>数字科技链企业供应链合作实践案例</w:t>
      </w:r>
      <w:bookmarkEnd w:id="77"/>
    </w:p>
    <w:p w14:paraId="1F73DB29">
      <w:pPr>
        <w:pStyle w:val="83"/>
        <w:spacing w:before="120" w:after="120"/>
      </w:pPr>
      <w:r>
        <w:rPr>
          <w:rFonts w:hint="eastAsia"/>
        </w:rPr>
        <w:t>案例背景</w:t>
      </w:r>
    </w:p>
    <w:p w14:paraId="28356DCE">
      <w:pPr>
        <w:pStyle w:val="4"/>
        <w:ind w:firstLine="420"/>
      </w:pPr>
      <w:r>
        <w:rPr>
          <w:rFonts w:hint="eastAsia"/>
        </w:rPr>
        <w:t>附录D是以D企业为链主企业的数据协同与智能服务实践案例，其中：</w:t>
      </w:r>
    </w:p>
    <w:p w14:paraId="1ED7E8B9">
      <w:pPr>
        <w:pStyle w:val="136"/>
      </w:pPr>
      <w:r>
        <w:t>D企业是一家领先的数字基础设施平台企业，核心业务涵盖云计算、大数据、人工智能与城市数字治理平台的规划与交付</w:t>
      </w:r>
      <w:r>
        <w:rPr>
          <w:rFonts w:hint="eastAsia"/>
        </w:rPr>
        <w:t>；</w:t>
      </w:r>
    </w:p>
    <w:p w14:paraId="5C07CFA8">
      <w:pPr>
        <w:pStyle w:val="136"/>
      </w:pPr>
      <w:r>
        <w:rPr>
          <w:rFonts w:hint="eastAsia"/>
        </w:rPr>
        <w:t>在推进“城市数字中枢”项目过程中，</w:t>
      </w:r>
      <w:r>
        <w:t>D企业联合其上游数据服务提供商K公司（专注AI算法模型与数据采集）和下游场景应用客户Y公司（城市公交管理部门），开展多维度的数据协同与智能服务合作</w:t>
      </w:r>
      <w:r>
        <w:rPr>
          <w:rFonts w:hint="eastAsia"/>
        </w:rPr>
        <w:t>；</w:t>
      </w:r>
    </w:p>
    <w:p w14:paraId="32B640B1">
      <w:pPr>
        <w:pStyle w:val="136"/>
      </w:pPr>
      <w:r>
        <w:rPr>
          <w:rFonts w:hint="eastAsia"/>
        </w:rPr>
        <w:t>三方</w:t>
      </w:r>
      <w:r>
        <w:t>建立面向</w:t>
      </w:r>
      <w:r>
        <w:rPr>
          <w:rFonts w:hint="eastAsia"/>
        </w:rPr>
        <w:t>“</w:t>
      </w:r>
      <w:r>
        <w:t>数据驱动—场景落地—价值共创</w:t>
      </w:r>
      <w:r>
        <w:rPr>
          <w:rFonts w:hint="eastAsia"/>
        </w:rPr>
        <w:t>”</w:t>
      </w:r>
      <w:r>
        <w:t>的纵向协同机制，为数字科技链打造开放可信、敏捷响应的合作样板。</w:t>
      </w:r>
    </w:p>
    <w:p w14:paraId="14DC85EB">
      <w:pPr>
        <w:pStyle w:val="83"/>
        <w:spacing w:before="120" w:after="120"/>
      </w:pPr>
      <w:r>
        <w:rPr>
          <w:rFonts w:hint="eastAsia"/>
        </w:rPr>
        <w:t>合作原则落地实践</w:t>
      </w:r>
    </w:p>
    <w:p w14:paraId="2440CF73">
      <w:pPr>
        <w:pStyle w:val="84"/>
        <w:spacing w:before="120" w:after="120"/>
      </w:pPr>
      <w:r>
        <w:rPr>
          <w:rFonts w:hint="eastAsia"/>
        </w:rPr>
        <w:t>关系管理</w:t>
      </w:r>
    </w:p>
    <w:p w14:paraId="65632A58">
      <w:pPr>
        <w:pStyle w:val="4"/>
        <w:ind w:firstLine="420"/>
      </w:pPr>
      <w:r>
        <w:rPr>
          <w:rFonts w:hint="eastAsia"/>
        </w:rPr>
        <w:t>设立“数字协作工作组”，划分技术对接、合规审查与产品联测三个专责小组，由D企业统一协调进度、资源与接口标准。各方以协作平台为统一任务板。</w:t>
      </w:r>
    </w:p>
    <w:p w14:paraId="285C5B52">
      <w:pPr>
        <w:pStyle w:val="84"/>
        <w:spacing w:before="120" w:after="120"/>
      </w:pPr>
      <w:r>
        <w:rPr>
          <w:rFonts w:hint="eastAsia"/>
        </w:rPr>
        <w:t>愿景和价值观</w:t>
      </w:r>
    </w:p>
    <w:p w14:paraId="7A281B19">
      <w:pPr>
        <w:pStyle w:val="4"/>
        <w:ind w:firstLine="420"/>
      </w:pPr>
      <w:r>
        <w:rPr>
          <w:rFonts w:hint="eastAsia"/>
        </w:rPr>
        <w:t>确认“以数据驱动城市高效治理与民生改善”为共同愿景，签署《数据伦理与共享公约》，约定数据安全、透明算法、用户隐私的三方底线责任。</w:t>
      </w:r>
    </w:p>
    <w:p w14:paraId="6FA484C4">
      <w:pPr>
        <w:pStyle w:val="84"/>
        <w:spacing w:before="120" w:after="120"/>
      </w:pPr>
      <w:r>
        <w:rPr>
          <w:rFonts w:hint="eastAsia"/>
        </w:rPr>
        <w:t>业务目标</w:t>
      </w:r>
    </w:p>
    <w:p w14:paraId="68A51253">
      <w:pPr>
        <w:pStyle w:val="4"/>
        <w:ind w:firstLine="420"/>
      </w:pPr>
      <w:r>
        <w:rPr>
          <w:rFonts w:hint="eastAsia"/>
        </w:rPr>
        <w:t>三方业务目标高度一致，共建典型示范应用场景：</w:t>
      </w:r>
    </w:p>
    <w:p w14:paraId="2079BF38">
      <w:pPr>
        <w:pStyle w:val="136"/>
      </w:pPr>
      <w:r>
        <w:rPr>
          <w:rFonts w:hint="eastAsia"/>
        </w:rPr>
        <w:t>D企业专注打造城市级AI服务底座；</w:t>
      </w:r>
    </w:p>
    <w:p w14:paraId="0BD95903">
      <w:pPr>
        <w:pStyle w:val="136"/>
      </w:pPr>
      <w:r>
        <w:rPr>
          <w:rFonts w:hint="eastAsia"/>
        </w:rPr>
        <w:t>K公司希望验证算法性能并扩展政务客户；</w:t>
      </w:r>
    </w:p>
    <w:p w14:paraId="1586489E">
      <w:pPr>
        <w:pStyle w:val="136"/>
      </w:pPr>
      <w:r>
        <w:rPr>
          <w:rFonts w:hint="eastAsia"/>
        </w:rPr>
        <w:t>Y公司则致力于借助AI预测优化公交调度效率。</w:t>
      </w:r>
    </w:p>
    <w:p w14:paraId="5B9CA126">
      <w:pPr>
        <w:pStyle w:val="84"/>
        <w:spacing w:before="120" w:after="120"/>
      </w:pPr>
      <w:r>
        <w:rPr>
          <w:rFonts w:hint="eastAsia"/>
        </w:rPr>
        <w:t>合作的领导作用</w:t>
      </w:r>
    </w:p>
    <w:p w14:paraId="22DF2126">
      <w:pPr>
        <w:pStyle w:val="4"/>
        <w:ind w:firstLine="420"/>
      </w:pPr>
      <w:r>
        <w:rPr>
          <w:rFonts w:hint="eastAsia"/>
        </w:rPr>
        <w:t>三方高管定期参与“数据价值共创月度圆桌”，由D企业首席数字官担任会议召集人，推动战略对齐与资源配置。</w:t>
      </w:r>
    </w:p>
    <w:p w14:paraId="65076952">
      <w:pPr>
        <w:pStyle w:val="84"/>
        <w:spacing w:before="120" w:after="120"/>
      </w:pPr>
      <w:r>
        <w:rPr>
          <w:rFonts w:hint="eastAsia"/>
        </w:rPr>
        <w:t>治理和过程</w:t>
      </w:r>
    </w:p>
    <w:p w14:paraId="686069AB">
      <w:pPr>
        <w:pStyle w:val="4"/>
        <w:ind w:firstLine="420"/>
      </w:pPr>
      <w:r>
        <w:rPr>
          <w:rFonts w:hint="eastAsia"/>
        </w:rPr>
        <w:t>编制《AI协同建模-部署-反馈闭环机制图》，实现数据采集→模型迭代→场景部署→用户回传→优化升级的全链条对接流程，标准对齐并文档化。</w:t>
      </w:r>
    </w:p>
    <w:p w14:paraId="55C2C120">
      <w:pPr>
        <w:pStyle w:val="84"/>
        <w:spacing w:before="120" w:after="120"/>
      </w:pPr>
      <w:r>
        <w:rPr>
          <w:rFonts w:hint="eastAsia"/>
        </w:rPr>
        <w:t>合作能力和行为</w:t>
      </w:r>
    </w:p>
    <w:p w14:paraId="2B77DA11">
      <w:pPr>
        <w:pStyle w:val="4"/>
        <w:ind w:firstLine="420"/>
      </w:pPr>
      <w:r>
        <w:rPr>
          <w:rFonts w:hint="eastAsia"/>
        </w:rPr>
        <w:t>组织跨企敏捷开发训练营，推动“前端-算法-平台-场景”岗位协作；所有关键接口工程师必须通过“算法理解力测评”，保障沟通有效性。</w:t>
      </w:r>
    </w:p>
    <w:p w14:paraId="2FF5982A">
      <w:pPr>
        <w:pStyle w:val="84"/>
        <w:spacing w:before="120" w:after="120"/>
      </w:pPr>
      <w:r>
        <w:rPr>
          <w:rFonts w:hint="eastAsia"/>
        </w:rPr>
        <w:t>互信与共同获益承诺</w:t>
      </w:r>
    </w:p>
    <w:p w14:paraId="7BDB62DD">
      <w:pPr>
        <w:pStyle w:val="4"/>
        <w:ind w:firstLine="420"/>
      </w:pPr>
      <w:r>
        <w:rPr>
          <w:rFonts w:hint="eastAsia"/>
        </w:rPr>
        <w:t>K公司允许D企业嵌入其数据实验室进行模型校验，Y公司开放部分核心公交实时数据用于迭代测试，三方签署“数据可信使用与可追溯协议”。</w:t>
      </w:r>
    </w:p>
    <w:p w14:paraId="2A6CAFCC">
      <w:pPr>
        <w:pStyle w:val="84"/>
        <w:spacing w:before="120" w:after="120"/>
      </w:pPr>
      <w:r>
        <w:rPr>
          <w:rFonts w:hint="eastAsia"/>
        </w:rPr>
        <w:t>价值创造</w:t>
      </w:r>
    </w:p>
    <w:p w14:paraId="26A0F429">
      <w:pPr>
        <w:pStyle w:val="4"/>
        <w:ind w:firstLine="420"/>
      </w:pPr>
      <w:r>
        <w:rPr>
          <w:rFonts w:hint="eastAsia"/>
        </w:rPr>
        <w:t>共同开发“公交高峰调度AI预测模型”，使得发车准点率提升9.4%、乘客投诉率下降27%；模型被纳入智慧交通标准技术白皮书草案。</w:t>
      </w:r>
    </w:p>
    <w:p w14:paraId="07C39493">
      <w:pPr>
        <w:pStyle w:val="84"/>
        <w:spacing w:before="120" w:after="120"/>
      </w:pPr>
      <w:r>
        <w:rPr>
          <w:rFonts w:hint="eastAsia"/>
        </w:rPr>
        <w:t>信息和知识共享</w:t>
      </w:r>
    </w:p>
    <w:p w14:paraId="75279069">
      <w:pPr>
        <w:pStyle w:val="4"/>
        <w:ind w:firstLine="420"/>
      </w:pPr>
      <w:r>
        <w:rPr>
          <w:rFonts w:hint="eastAsia"/>
        </w:rPr>
        <w:t>接入“城市数字协同中台”，实现跨组织数据、接口文档、运行日志与反馈信息的实时共享，赋能闭环治理；建立“知识共创空间”，分享最佳实践。</w:t>
      </w:r>
    </w:p>
    <w:p w14:paraId="09DBF127">
      <w:pPr>
        <w:pStyle w:val="84"/>
        <w:spacing w:before="120" w:after="120"/>
      </w:pPr>
      <w:r>
        <w:rPr>
          <w:rFonts w:hint="eastAsia"/>
        </w:rPr>
        <w:t>风险管理</w:t>
      </w:r>
    </w:p>
    <w:p w14:paraId="55BF12F3">
      <w:pPr>
        <w:pStyle w:val="4"/>
        <w:ind w:firstLine="420"/>
      </w:pPr>
      <w:r>
        <w:rPr>
          <w:rFonts w:hint="eastAsia"/>
        </w:rPr>
        <w:t>设立“数据风险联防机制”，对模型偏差、算法误用、数据泄露进行分级响应，并联合部署隐私计算与水印溯源系统，确保数据链条安全合规。</w:t>
      </w:r>
    </w:p>
    <w:p w14:paraId="1E46CD72">
      <w:pPr>
        <w:pStyle w:val="84"/>
        <w:spacing w:before="120" w:after="120"/>
      </w:pPr>
      <w:r>
        <w:rPr>
          <w:rFonts w:hint="eastAsia"/>
        </w:rPr>
        <w:t>关系测量和优化</w:t>
      </w:r>
    </w:p>
    <w:p w14:paraId="1D4447BD">
      <w:pPr>
        <w:pStyle w:val="4"/>
        <w:ind w:firstLine="420"/>
      </w:pPr>
      <w:r>
        <w:rPr>
          <w:rFonts w:hint="eastAsia"/>
        </w:rPr>
        <w:t>引入AI驱动的协作绩效仪表盘，从延迟时长、模型回报率、接口投诉量等维度评估协同效能，推动周度优化迭代。</w:t>
      </w:r>
    </w:p>
    <w:p w14:paraId="5F80CF69">
      <w:pPr>
        <w:pStyle w:val="84"/>
        <w:spacing w:before="120" w:after="120"/>
      </w:pPr>
      <w:r>
        <w:rPr>
          <w:rFonts w:hint="eastAsia"/>
        </w:rPr>
        <w:t>退出策略</w:t>
      </w:r>
    </w:p>
    <w:p w14:paraId="7018F11A">
      <w:pPr>
        <w:pStyle w:val="4"/>
        <w:ind w:firstLine="420"/>
      </w:pPr>
      <w:r>
        <w:rPr>
          <w:rFonts w:hint="eastAsia"/>
        </w:rPr>
        <w:t>制定模型下线与接口清除机制、算法输出归档标准与知识产权终止使用协议，保障退出过程有序、数据可控并保留复用余地。</w:t>
      </w:r>
    </w:p>
    <w:p w14:paraId="07E6550E">
      <w:pPr>
        <w:pStyle w:val="83"/>
        <w:spacing w:before="120" w:after="120"/>
      </w:pPr>
      <w:r>
        <w:rPr>
          <w:rFonts w:hint="eastAsia"/>
        </w:rPr>
        <w:t>合作成效总结</w:t>
      </w:r>
    </w:p>
    <w:p w14:paraId="2465827C">
      <w:pPr>
        <w:pStyle w:val="4"/>
        <w:ind w:firstLine="420"/>
      </w:pPr>
      <w:r>
        <w:rPr>
          <w:rFonts w:hint="eastAsia"/>
        </w:rPr>
        <w:t>通过合作，达成如下合作成效：</w:t>
      </w:r>
    </w:p>
    <w:p w14:paraId="2A59AF10">
      <w:pPr>
        <w:pStyle w:val="136"/>
      </w:pPr>
      <w:r>
        <w:t>模型开发周期缩短31%，数据服务交付成功率提升至98.6%；</w:t>
      </w:r>
    </w:p>
    <w:p w14:paraId="4D9DBC66">
      <w:pPr>
        <w:pStyle w:val="136"/>
      </w:pPr>
      <w:r>
        <w:t xml:space="preserve"> “公交高峰预测引擎”在6座城市复制推广，带动K公司模型复用收益增长17%；</w:t>
      </w:r>
    </w:p>
    <w:p w14:paraId="375168C0">
      <w:pPr>
        <w:pStyle w:val="136"/>
      </w:pPr>
      <w:r>
        <w:t>合作经验被纳入D企业《数字城市协作指南》，并成为智慧城市平台海外出口配套机制；</w:t>
      </w:r>
    </w:p>
    <w:p w14:paraId="492C6378">
      <w:pPr>
        <w:pStyle w:val="136"/>
      </w:pPr>
      <w:r>
        <w:t>三方计划构建长期“城市AI场景联合孵化平台”，形成数字治理合作长效机制。</w:t>
      </w:r>
    </w:p>
    <w:p w14:paraId="73B6AA7C">
      <w:pPr>
        <w:pStyle w:val="4"/>
        <w:ind w:firstLine="420"/>
      </w:pPr>
    </w:p>
    <w:p w14:paraId="4E811F9B">
      <w:pPr>
        <w:pStyle w:val="4"/>
        <w:ind w:firstLine="0" w:firstLineChars="0"/>
        <w:sectPr>
          <w:pgSz w:w="11906" w:h="16838"/>
          <w:pgMar w:top="1928" w:right="1134" w:bottom="1134" w:left="1134" w:header="1418" w:footer="1134" w:gutter="284"/>
          <w:cols w:space="425" w:num="1"/>
          <w:formProt w:val="0"/>
          <w:docGrid w:linePitch="312" w:charSpace="0"/>
        </w:sectPr>
      </w:pPr>
    </w:p>
    <w:p w14:paraId="602E14B4">
      <w:pPr>
        <w:pStyle w:val="202"/>
        <w:rPr>
          <w:rFonts w:hint="eastAsia"/>
        </w:rPr>
      </w:pPr>
    </w:p>
    <w:p w14:paraId="336EB082">
      <w:pPr>
        <w:pStyle w:val="203"/>
      </w:pPr>
    </w:p>
    <w:p w14:paraId="3F8A170E">
      <w:pPr>
        <w:pStyle w:val="81"/>
        <w:spacing w:after="120"/>
      </w:pPr>
      <w:r>
        <w:br w:type="textWrapping"/>
      </w:r>
      <w:bookmarkStart w:id="78" w:name="_Toc203036650"/>
      <w:r>
        <w:rPr>
          <w:rFonts w:hint="eastAsia"/>
        </w:rPr>
        <w:t>（资料性）</w:t>
      </w:r>
      <w:r>
        <w:br w:type="textWrapping"/>
      </w:r>
      <w:r>
        <w:rPr>
          <w:rFonts w:hint="eastAsia"/>
        </w:rPr>
        <w:t>健康生活链企业供应链合作实践案例</w:t>
      </w:r>
      <w:bookmarkEnd w:id="78"/>
    </w:p>
    <w:p w14:paraId="11686CFF">
      <w:pPr>
        <w:pStyle w:val="83"/>
        <w:spacing w:before="120" w:after="120"/>
      </w:pPr>
      <w:r>
        <w:rPr>
          <w:rFonts w:hint="eastAsia"/>
        </w:rPr>
        <w:t>案例背景</w:t>
      </w:r>
    </w:p>
    <w:p w14:paraId="77EABDAE">
      <w:pPr>
        <w:pStyle w:val="4"/>
        <w:ind w:firstLine="420"/>
      </w:pPr>
      <w:r>
        <w:rPr>
          <w:rFonts w:hint="eastAsia"/>
        </w:rPr>
        <w:t>附录E是以L企业为链主企业的跨界健康服务协作范式实践案例，其中：</w:t>
      </w:r>
    </w:p>
    <w:p w14:paraId="10C89D75">
      <w:pPr>
        <w:pStyle w:val="136"/>
      </w:pPr>
      <w:r>
        <w:rPr>
          <w:rFonts w:hint="eastAsia"/>
        </w:rPr>
        <w:t>L企业是一家以“数字健康+实体服务”融合发展的健康生活服务平台企业，涵盖健康食品、智能穿戴设备、家庭医疗服务与健康干预管理；</w:t>
      </w:r>
    </w:p>
    <w:p w14:paraId="7B4D43A1">
      <w:pPr>
        <w:pStyle w:val="136"/>
      </w:pPr>
      <w:r>
        <w:rPr>
          <w:rFonts w:hint="eastAsia"/>
        </w:rPr>
        <w:t>在构建“健康生活一站式服务平台”过程中，L企业联合上游N公司（天然功能性营养品研发企业）与下游X公司（社区健康连锁服务运营商）协同开展“数据营养+行为干预”融合服务试点；</w:t>
      </w:r>
    </w:p>
    <w:p w14:paraId="5E28652F">
      <w:pPr>
        <w:pStyle w:val="136"/>
      </w:pPr>
      <w:r>
        <w:rPr>
          <w:rFonts w:hint="eastAsia"/>
        </w:rPr>
        <w:t>三方推动供应链从“产品交付”向“健康目标达成”转变，打造具有高客户粘性和高运营效率的健康生活链协作新模式。</w:t>
      </w:r>
    </w:p>
    <w:p w14:paraId="4EBE92EA">
      <w:pPr>
        <w:pStyle w:val="83"/>
        <w:spacing w:before="120" w:after="120"/>
      </w:pPr>
      <w:r>
        <w:rPr>
          <w:rFonts w:hint="eastAsia"/>
        </w:rPr>
        <w:t>合作原则落地实践</w:t>
      </w:r>
    </w:p>
    <w:p w14:paraId="71AD1B4E">
      <w:pPr>
        <w:pStyle w:val="84"/>
        <w:spacing w:before="120" w:after="120"/>
      </w:pPr>
      <w:r>
        <w:rPr>
          <w:rFonts w:hint="eastAsia"/>
        </w:rPr>
        <w:t>关系管理</w:t>
      </w:r>
    </w:p>
    <w:p w14:paraId="18FD7653">
      <w:pPr>
        <w:pStyle w:val="4"/>
        <w:ind w:firstLine="420"/>
      </w:pPr>
      <w:r>
        <w:rPr>
          <w:rFonts w:hint="eastAsia"/>
        </w:rPr>
        <w:t>三方设立“健康服务联席小组”，围绕用户健康管理计划制定、营养推荐、配送服务、干预追踪等流程节点，明确接口人并定期协调资源与任务。</w:t>
      </w:r>
    </w:p>
    <w:p w14:paraId="4EB112B6">
      <w:pPr>
        <w:pStyle w:val="84"/>
        <w:spacing w:before="120" w:after="120"/>
      </w:pPr>
      <w:r>
        <w:rPr>
          <w:rFonts w:hint="eastAsia"/>
        </w:rPr>
        <w:t>愿景和价值观</w:t>
      </w:r>
    </w:p>
    <w:p w14:paraId="7A27B1AC">
      <w:pPr>
        <w:pStyle w:val="4"/>
        <w:ind w:firstLine="420"/>
      </w:pPr>
      <w:r>
        <w:rPr>
          <w:rFonts w:hint="eastAsia"/>
        </w:rPr>
        <w:t>共同提出“让每个人更健康地生活”合作愿景，签署《健康守护方阵行动公约》，承诺以用户健康结果为中心、以科学数据为依据、以合作共赢为原则。</w:t>
      </w:r>
    </w:p>
    <w:p w14:paraId="5FD8005B">
      <w:pPr>
        <w:pStyle w:val="84"/>
        <w:spacing w:before="120" w:after="120"/>
      </w:pPr>
      <w:r>
        <w:rPr>
          <w:rFonts w:hint="eastAsia"/>
        </w:rPr>
        <w:t>业务目标</w:t>
      </w:r>
    </w:p>
    <w:p w14:paraId="366835DE">
      <w:pPr>
        <w:pStyle w:val="4"/>
        <w:ind w:firstLine="420"/>
      </w:pPr>
      <w:r>
        <w:rPr>
          <w:rFonts w:hint="eastAsia"/>
        </w:rPr>
        <w:t>三方对齐用户健康改善率作为核心共识指标：</w:t>
      </w:r>
    </w:p>
    <w:p w14:paraId="5EF81CEE">
      <w:pPr>
        <w:pStyle w:val="136"/>
      </w:pPr>
      <w:r>
        <w:rPr>
          <w:rFonts w:hint="eastAsia"/>
        </w:rPr>
        <w:t>L企业聚焦健康管理平台场景与客户关系维护；</w:t>
      </w:r>
    </w:p>
    <w:p w14:paraId="322B2F4D">
      <w:pPr>
        <w:pStyle w:val="136"/>
      </w:pPr>
      <w:r>
        <w:rPr>
          <w:rFonts w:hint="eastAsia"/>
        </w:rPr>
        <w:t>N公司关注产品验证效果与复购率提升；</w:t>
      </w:r>
    </w:p>
    <w:p w14:paraId="7C927A0C">
      <w:pPr>
        <w:pStyle w:val="136"/>
      </w:pPr>
      <w:r>
        <w:rPr>
          <w:rFonts w:hint="eastAsia"/>
        </w:rPr>
        <w:t>X公司则关注客户满意度与交付服务能力建设。</w:t>
      </w:r>
    </w:p>
    <w:p w14:paraId="1A611A25">
      <w:pPr>
        <w:pStyle w:val="84"/>
        <w:spacing w:before="120" w:after="120"/>
      </w:pPr>
      <w:r>
        <w:rPr>
          <w:rFonts w:hint="eastAsia"/>
        </w:rPr>
        <w:t>合作的领导作用</w:t>
      </w:r>
    </w:p>
    <w:p w14:paraId="1A34B39E">
      <w:pPr>
        <w:pStyle w:val="4"/>
        <w:ind w:firstLine="420"/>
      </w:pPr>
      <w:r>
        <w:rPr>
          <w:rFonts w:hint="eastAsia"/>
        </w:rPr>
        <w:t>L企业健康策略官牵头设立战略组，N公司与X公司分别指派首席营养官与区域运营负责人参与“双月健康服务共创会议”，共同规划路线图与人力资源支持。</w:t>
      </w:r>
    </w:p>
    <w:p w14:paraId="72DB7462">
      <w:pPr>
        <w:pStyle w:val="84"/>
        <w:spacing w:before="120" w:after="120"/>
      </w:pPr>
      <w:r>
        <w:rPr>
          <w:rFonts w:hint="eastAsia"/>
        </w:rPr>
        <w:t>治理和过程</w:t>
      </w:r>
    </w:p>
    <w:p w14:paraId="680CD873">
      <w:pPr>
        <w:pStyle w:val="4"/>
        <w:ind w:firstLine="420"/>
      </w:pPr>
      <w:r>
        <w:rPr>
          <w:rFonts w:hint="eastAsia"/>
        </w:rPr>
        <w:t>三方协同制定“健康服务操作规程SOP”，覆盖方案定制、产品选型、反馈回收、问题分级响应等流程，嵌入L企业CRM系统形成端到端闭环。</w:t>
      </w:r>
    </w:p>
    <w:p w14:paraId="4FD88F90">
      <w:pPr>
        <w:pStyle w:val="84"/>
        <w:spacing w:before="120" w:after="120"/>
      </w:pPr>
      <w:r>
        <w:rPr>
          <w:rFonts w:hint="eastAsia"/>
        </w:rPr>
        <w:t>合作能力和行为</w:t>
      </w:r>
    </w:p>
    <w:p w14:paraId="420874B5">
      <w:pPr>
        <w:pStyle w:val="4"/>
        <w:ind w:firstLine="420"/>
      </w:pPr>
      <w:r>
        <w:rPr>
          <w:rFonts w:hint="eastAsia"/>
        </w:rPr>
        <w:t>设立联合培训营，以“营养+医疗+用户交互”为核心课程；所有一线服务人员需接受健康问答与智能设备操作双重认证。</w:t>
      </w:r>
    </w:p>
    <w:p w14:paraId="59722516">
      <w:pPr>
        <w:pStyle w:val="84"/>
        <w:spacing w:before="120" w:after="120"/>
      </w:pPr>
      <w:r>
        <w:rPr>
          <w:rFonts w:hint="eastAsia"/>
        </w:rPr>
        <w:t>互信与共同获益承诺</w:t>
      </w:r>
    </w:p>
    <w:p w14:paraId="0B0594F6">
      <w:pPr>
        <w:pStyle w:val="4"/>
        <w:ind w:firstLine="420"/>
      </w:pPr>
      <w:r>
        <w:rPr>
          <w:rFonts w:hint="eastAsia"/>
        </w:rPr>
        <w:t>L企业承诺对接入产品设独立成分评估；N公司为试点提供定制营养包试用与消费者调研支持；X公司开放客户服务数据用于评估分析并同步改进方案。</w:t>
      </w:r>
    </w:p>
    <w:p w14:paraId="70305E48">
      <w:pPr>
        <w:pStyle w:val="84"/>
        <w:spacing w:before="120" w:after="120"/>
      </w:pPr>
      <w:r>
        <w:rPr>
          <w:rFonts w:hint="eastAsia"/>
        </w:rPr>
        <w:t>价值创造</w:t>
      </w:r>
    </w:p>
    <w:p w14:paraId="0A9DE3D9">
      <w:pPr>
        <w:pStyle w:val="4"/>
        <w:ind w:firstLine="420"/>
      </w:pPr>
      <w:r>
        <w:rPr>
          <w:rFonts w:hint="eastAsia"/>
        </w:rPr>
        <w:t>联合开发“个性化营养推荐引擎”，结合L平台用户数据与N公司营养模型，实现用户营养摄入匹配度提升32%，平台用户活跃率提升21%。</w:t>
      </w:r>
    </w:p>
    <w:p w14:paraId="663AC0B0">
      <w:pPr>
        <w:pStyle w:val="84"/>
        <w:spacing w:before="120" w:after="120"/>
      </w:pPr>
      <w:r>
        <w:rPr>
          <w:rFonts w:hint="eastAsia"/>
        </w:rPr>
        <w:t>信息和知识共享</w:t>
      </w:r>
    </w:p>
    <w:p w14:paraId="76FF1D5D">
      <w:pPr>
        <w:pStyle w:val="4"/>
        <w:ind w:firstLine="420"/>
      </w:pPr>
      <w:r>
        <w:rPr>
          <w:rFonts w:hint="eastAsia"/>
        </w:rPr>
        <w:t>建立“健康生活链数据共享中心”，N公司提交产品成分与功效机制数据，X公司同步干预效果与用户满意度，L企业整合生成客户个性化报告。</w:t>
      </w:r>
    </w:p>
    <w:p w14:paraId="34167B89">
      <w:pPr>
        <w:pStyle w:val="84"/>
        <w:spacing w:before="120" w:after="120"/>
      </w:pPr>
      <w:r>
        <w:rPr>
          <w:rFonts w:hint="eastAsia"/>
        </w:rPr>
        <w:t>风险管理</w:t>
      </w:r>
    </w:p>
    <w:p w14:paraId="5D8E0F42">
      <w:pPr>
        <w:pStyle w:val="4"/>
        <w:ind w:firstLine="420"/>
      </w:pPr>
      <w:r>
        <w:rPr>
          <w:rFonts w:hint="eastAsia"/>
        </w:rPr>
        <w:t>识别误配、滥用、过敏等健康风险，设立“三方联审机制”审核健康方案，制定风险事件响应手册与药食干预责任边界。</w:t>
      </w:r>
    </w:p>
    <w:p w14:paraId="2DEC44AC">
      <w:pPr>
        <w:pStyle w:val="84"/>
        <w:spacing w:before="120" w:after="120"/>
      </w:pPr>
      <w:r>
        <w:rPr>
          <w:rFonts w:hint="eastAsia"/>
        </w:rPr>
        <w:t>关系测量和优化</w:t>
      </w:r>
    </w:p>
    <w:p w14:paraId="5C135153">
      <w:pPr>
        <w:pStyle w:val="4"/>
        <w:ind w:firstLine="420"/>
      </w:pPr>
      <w:r>
        <w:rPr>
          <w:rFonts w:hint="eastAsia"/>
        </w:rPr>
        <w:t>每季度发布“健康服务协作表现报告”，涵盖用户健康指标改善率、服务满意度、响应速度等关键指标；基于报告实施滚动优化机制。</w:t>
      </w:r>
    </w:p>
    <w:p w14:paraId="683DD94F">
      <w:pPr>
        <w:pStyle w:val="84"/>
        <w:spacing w:before="120" w:after="120"/>
      </w:pPr>
      <w:r>
        <w:rPr>
          <w:rFonts w:hint="eastAsia"/>
        </w:rPr>
        <w:t>退出策略</w:t>
      </w:r>
    </w:p>
    <w:p w14:paraId="6BC85C74">
      <w:pPr>
        <w:pStyle w:val="4"/>
        <w:ind w:firstLine="420"/>
      </w:pPr>
      <w:r>
        <w:rPr>
          <w:rFonts w:hint="eastAsia"/>
        </w:rPr>
        <w:t>合作协议中明确退出流程与用户服务移交机制；所有健康数据与干预记录必须交由L企业统一归档并在用户授权下移交或封存，确保退出透明与合法。</w:t>
      </w:r>
    </w:p>
    <w:p w14:paraId="008FBB04">
      <w:pPr>
        <w:pStyle w:val="83"/>
        <w:spacing w:before="120" w:after="120"/>
      </w:pPr>
      <w:r>
        <w:rPr>
          <w:rFonts w:hint="eastAsia"/>
        </w:rPr>
        <w:t>合作成效总结</w:t>
      </w:r>
    </w:p>
    <w:p w14:paraId="3E55CCA6">
      <w:pPr>
        <w:pStyle w:val="4"/>
        <w:ind w:firstLine="420"/>
      </w:pPr>
      <w:r>
        <w:rPr>
          <w:rFonts w:hint="eastAsia"/>
        </w:rPr>
        <w:t>通过合作，达成如下合作成效：</w:t>
      </w:r>
    </w:p>
    <w:p w14:paraId="25063915">
      <w:pPr>
        <w:pStyle w:val="136"/>
      </w:pPr>
      <w:r>
        <w:rPr>
          <w:rFonts w:hint="eastAsia"/>
        </w:rPr>
        <w:t>用户健康干预参与率提升至85%以上，平台用户留存率提高26%；</w:t>
      </w:r>
    </w:p>
    <w:p w14:paraId="7AC8B00C">
      <w:pPr>
        <w:pStyle w:val="136"/>
      </w:pPr>
      <w:r>
        <w:rPr>
          <w:rFonts w:hint="eastAsia"/>
        </w:rPr>
        <w:t>成功上线三款联合开发营养产品，形成以场景为核心的产品力闭环；</w:t>
      </w:r>
    </w:p>
    <w:p w14:paraId="0016A467">
      <w:pPr>
        <w:pStyle w:val="136"/>
      </w:pPr>
      <w:r>
        <w:rPr>
          <w:rFonts w:hint="eastAsia"/>
        </w:rPr>
        <w:t>模式被地方卫健委纳入“社区健康共建计划”试点支持名单；</w:t>
      </w:r>
    </w:p>
    <w:p w14:paraId="2BC8DC37">
      <w:pPr>
        <w:pStyle w:val="136"/>
        <w:sectPr>
          <w:pgSz w:w="11906" w:h="16838"/>
          <w:pgMar w:top="1928" w:right="1134" w:bottom="1134" w:left="1134" w:header="1418" w:footer="1134" w:gutter="284"/>
          <w:cols w:space="425" w:num="1"/>
          <w:formProt w:val="0"/>
          <w:docGrid w:linePitch="312" w:charSpace="0"/>
        </w:sectPr>
      </w:pPr>
      <w:r>
        <w:rPr>
          <w:rFonts w:hint="eastAsia"/>
        </w:rPr>
        <w:t>三方签署长期战略协议，共建“个性化健康促进技术联合实验室”。</w:t>
      </w:r>
    </w:p>
    <w:p w14:paraId="269CEC70">
      <w:pPr>
        <w:pStyle w:val="202"/>
        <w:rPr>
          <w:rFonts w:hint="eastAsia"/>
        </w:rPr>
      </w:pPr>
    </w:p>
    <w:p w14:paraId="01BBAFAD">
      <w:pPr>
        <w:pStyle w:val="203"/>
      </w:pPr>
    </w:p>
    <w:p w14:paraId="2C65B3AD">
      <w:pPr>
        <w:pStyle w:val="81"/>
        <w:spacing w:after="120"/>
      </w:pPr>
      <w:r>
        <w:br w:type="textWrapping"/>
      </w:r>
      <w:bookmarkStart w:id="79" w:name="_Toc203036651"/>
      <w:r>
        <w:rPr>
          <w:rFonts w:hint="eastAsia"/>
        </w:rPr>
        <w:t>（资料性）</w:t>
      </w:r>
      <w:r>
        <w:br w:type="textWrapping"/>
      </w:r>
      <w:r>
        <w:rPr>
          <w:rFonts w:hint="eastAsia"/>
        </w:rPr>
        <w:t>绿色农业链企业供应链合作实践案例</w:t>
      </w:r>
      <w:bookmarkEnd w:id="79"/>
    </w:p>
    <w:p w14:paraId="0988B59A">
      <w:pPr>
        <w:pStyle w:val="83"/>
        <w:spacing w:before="120" w:after="120"/>
      </w:pPr>
      <w:r>
        <w:rPr>
          <w:rFonts w:hint="eastAsia"/>
        </w:rPr>
        <w:t>案例背景</w:t>
      </w:r>
    </w:p>
    <w:p w14:paraId="5B3EEF8D">
      <w:pPr>
        <w:pStyle w:val="4"/>
        <w:ind w:firstLine="420"/>
      </w:pPr>
      <w:r>
        <w:rPr>
          <w:rFonts w:hint="eastAsia"/>
        </w:rPr>
        <w:t>附录F是以G企业为链主企业的“从田园到餐桌”全链协作示范实践案例，其中：</w:t>
      </w:r>
    </w:p>
    <w:p w14:paraId="6F426278">
      <w:pPr>
        <w:pStyle w:val="136"/>
      </w:pPr>
      <w:r>
        <w:rPr>
          <w:rFonts w:hint="eastAsia"/>
        </w:rPr>
        <w:t>G企业是一家以绿色有机农业为核心的全产业链运营商，业务涵盖生态农场种植、数字化加工仓储、冷链物流与城市终端直供平台；</w:t>
      </w:r>
    </w:p>
    <w:p w14:paraId="60C883D0">
      <w:pPr>
        <w:pStyle w:val="136"/>
      </w:pPr>
      <w:r>
        <w:rPr>
          <w:rFonts w:hint="eastAsia"/>
        </w:rPr>
        <w:t>为推动“从田园到餐桌”的一体化协同模式，G企业联合其上游S公司（生态种植服务与肥料供应商）与下游Z公司（绿色食品连锁商超），共建全流程绿色农业协作机制；</w:t>
      </w:r>
    </w:p>
    <w:p w14:paraId="3F2E0034">
      <w:pPr>
        <w:pStyle w:val="136"/>
      </w:pPr>
      <w:r>
        <w:rPr>
          <w:rFonts w:hint="eastAsia"/>
        </w:rPr>
        <w:t>三方建立了跨产业、跨场景的绿色农业合作治理机制，实现了农业增效、农户增收、消费者满意的三赢目标。</w:t>
      </w:r>
    </w:p>
    <w:p w14:paraId="471D6028">
      <w:pPr>
        <w:pStyle w:val="83"/>
        <w:spacing w:before="120" w:after="120"/>
      </w:pPr>
      <w:r>
        <w:rPr>
          <w:rFonts w:hint="eastAsia"/>
        </w:rPr>
        <w:t>合作原则落地实践</w:t>
      </w:r>
    </w:p>
    <w:p w14:paraId="684A182C">
      <w:pPr>
        <w:pStyle w:val="84"/>
        <w:spacing w:before="120" w:after="120"/>
      </w:pPr>
      <w:r>
        <w:rPr>
          <w:rFonts w:hint="eastAsia"/>
        </w:rPr>
        <w:t>关系管理</w:t>
      </w:r>
    </w:p>
    <w:p w14:paraId="7D8E39C8">
      <w:pPr>
        <w:pStyle w:val="4"/>
        <w:ind w:firstLine="420"/>
      </w:pPr>
      <w:r>
        <w:rPr>
          <w:rFonts w:hint="eastAsia"/>
        </w:rPr>
        <w:t>建立“田园-产地-销地”三级协调机制，G企业作为平台方设立农业链联合工作群组，涵盖种植指导、物流调度、零售排产等关键节点，实现信息同步。</w:t>
      </w:r>
    </w:p>
    <w:p w14:paraId="544B99C7">
      <w:pPr>
        <w:pStyle w:val="84"/>
        <w:spacing w:before="120" w:after="120"/>
      </w:pPr>
      <w:r>
        <w:rPr>
          <w:rFonts w:hint="eastAsia"/>
        </w:rPr>
        <w:t>愿景和价值观</w:t>
      </w:r>
    </w:p>
    <w:p w14:paraId="73574553">
      <w:pPr>
        <w:pStyle w:val="4"/>
        <w:ind w:firstLine="420"/>
      </w:pPr>
      <w:r>
        <w:rPr>
          <w:rFonts w:hint="eastAsia"/>
        </w:rPr>
        <w:t>三方达成“种得生态、供得新鲜、吃得安心”的共同价值主张，签署《绿色食品公约》，约定不使用农残超标投入、公开供应流程、保障消费者权益。</w:t>
      </w:r>
    </w:p>
    <w:p w14:paraId="760B7FC7">
      <w:pPr>
        <w:pStyle w:val="84"/>
        <w:spacing w:before="120" w:after="120"/>
      </w:pPr>
      <w:r>
        <w:rPr>
          <w:rFonts w:hint="eastAsia"/>
        </w:rPr>
        <w:t>业务目标</w:t>
      </w:r>
    </w:p>
    <w:p w14:paraId="009A09A2">
      <w:pPr>
        <w:pStyle w:val="4"/>
        <w:ind w:firstLine="420"/>
      </w:pPr>
      <w:r>
        <w:rPr>
          <w:rFonts w:hint="eastAsia"/>
        </w:rPr>
        <w:t>三方业务目标高度一致：</w:t>
      </w:r>
    </w:p>
    <w:p w14:paraId="125D8B1C">
      <w:pPr>
        <w:pStyle w:val="136"/>
      </w:pPr>
      <w:r>
        <w:rPr>
          <w:rFonts w:hint="eastAsia"/>
        </w:rPr>
        <w:t>G企业致力于打造农产品质量信任标识体系；</w:t>
      </w:r>
    </w:p>
    <w:p w14:paraId="0ACB5600">
      <w:pPr>
        <w:pStyle w:val="136"/>
      </w:pPr>
      <w:r>
        <w:rPr>
          <w:rFonts w:hint="eastAsia"/>
        </w:rPr>
        <w:t>S公司希望借平台扩展绿色种植技术服务；</w:t>
      </w:r>
    </w:p>
    <w:p w14:paraId="3231F499">
      <w:pPr>
        <w:pStyle w:val="136"/>
      </w:pPr>
      <w:r>
        <w:rPr>
          <w:rFonts w:hint="eastAsia"/>
        </w:rPr>
        <w:t>Z公司关注稳定供货、可追溯与终端客户满意度。</w:t>
      </w:r>
    </w:p>
    <w:p w14:paraId="41815C70">
      <w:pPr>
        <w:pStyle w:val="84"/>
        <w:spacing w:before="120" w:after="120"/>
      </w:pPr>
      <w:r>
        <w:rPr>
          <w:rFonts w:hint="eastAsia"/>
        </w:rPr>
        <w:t>合作的领导作用</w:t>
      </w:r>
    </w:p>
    <w:p w14:paraId="1AC3F9C6">
      <w:pPr>
        <w:pStyle w:val="4"/>
        <w:ind w:firstLine="420"/>
      </w:pPr>
      <w:r>
        <w:rPr>
          <w:rFonts w:hint="eastAsia"/>
        </w:rPr>
        <w:t>设立“三方绿色农业推进委员会”，由G企业副总主持，三方负责人轮值组织“双月战略调度会”，确保资源配置、响应速度与方向一致。</w:t>
      </w:r>
    </w:p>
    <w:p w14:paraId="6B51E689">
      <w:pPr>
        <w:pStyle w:val="84"/>
        <w:spacing w:before="120" w:after="120"/>
      </w:pPr>
      <w:r>
        <w:rPr>
          <w:rFonts w:hint="eastAsia"/>
        </w:rPr>
        <w:t>治理和过程</w:t>
      </w:r>
    </w:p>
    <w:p w14:paraId="40060C28">
      <w:pPr>
        <w:pStyle w:val="4"/>
        <w:ind w:firstLine="420"/>
      </w:pPr>
      <w:r>
        <w:rPr>
          <w:rFonts w:hint="eastAsia"/>
        </w:rPr>
        <w:t>构建《绿色农产品协同标准操作手册》，统一田间管理、采收标准、冷链温控与门店上架流程，涵盖6大流程节点与9类接口要求。</w:t>
      </w:r>
    </w:p>
    <w:p w14:paraId="430D3412">
      <w:pPr>
        <w:pStyle w:val="84"/>
        <w:spacing w:before="120" w:after="120"/>
      </w:pPr>
      <w:r>
        <w:rPr>
          <w:rFonts w:hint="eastAsia"/>
        </w:rPr>
        <w:t>合作能力和行为</w:t>
      </w:r>
    </w:p>
    <w:p w14:paraId="6C9372B3">
      <w:pPr>
        <w:pStyle w:val="4"/>
        <w:ind w:firstLine="420"/>
      </w:pPr>
      <w:r>
        <w:rPr>
          <w:rFonts w:hint="eastAsia"/>
        </w:rPr>
        <w:t>G企业提供“农户协同操作系统”培训包，S公司与Z公司派驻专员驻田与驻店联合培训，推动沟通一致、标准落地与行为对标。</w:t>
      </w:r>
    </w:p>
    <w:p w14:paraId="6FA426E6">
      <w:pPr>
        <w:pStyle w:val="84"/>
        <w:spacing w:before="120" w:after="120"/>
      </w:pPr>
      <w:r>
        <w:rPr>
          <w:rFonts w:hint="eastAsia"/>
        </w:rPr>
        <w:t>互信与共同获益承诺</w:t>
      </w:r>
    </w:p>
    <w:p w14:paraId="077538B9">
      <w:pPr>
        <w:pStyle w:val="4"/>
        <w:ind w:firstLine="420"/>
      </w:pPr>
      <w:r>
        <w:rPr>
          <w:rFonts w:hint="eastAsia"/>
        </w:rPr>
        <w:t>Z公司提前锁定订单计划，G企业承诺保供稳定、滞销兜底；S公司为农户提供种植风险险种并设“肥料延期结算机制”，形成合作信任闭环。</w:t>
      </w:r>
    </w:p>
    <w:p w14:paraId="370DCBBA">
      <w:pPr>
        <w:pStyle w:val="84"/>
        <w:spacing w:before="120" w:after="120"/>
      </w:pPr>
      <w:r>
        <w:rPr>
          <w:rFonts w:hint="eastAsia"/>
        </w:rPr>
        <w:t>价值创造</w:t>
      </w:r>
    </w:p>
    <w:p w14:paraId="274D7317">
      <w:pPr>
        <w:pStyle w:val="4"/>
        <w:ind w:firstLine="420"/>
      </w:pPr>
      <w:r>
        <w:rPr>
          <w:rFonts w:hint="eastAsia"/>
        </w:rPr>
        <w:t>联合开发“溯源+生长监测+消费者反馈”一体平台，形成直连消费者端的信任机制，产品回购率提升39%，农户平均收益提升27%。</w:t>
      </w:r>
    </w:p>
    <w:p w14:paraId="61450EFF">
      <w:pPr>
        <w:pStyle w:val="84"/>
        <w:spacing w:before="120" w:after="120"/>
      </w:pPr>
      <w:r>
        <w:rPr>
          <w:rFonts w:hint="eastAsia"/>
        </w:rPr>
        <w:t>信息和知识共享</w:t>
      </w:r>
    </w:p>
    <w:p w14:paraId="315D3E14">
      <w:pPr>
        <w:pStyle w:val="4"/>
        <w:ind w:firstLine="420"/>
      </w:pPr>
      <w:r>
        <w:rPr>
          <w:rFonts w:hint="eastAsia"/>
        </w:rPr>
        <w:t>搭建绿色农业链数据平台，集成种植日志、运输状态、销售反馈与消费者评分；信息跨企业流通，实现质量问题快速追踪与农事调整。</w:t>
      </w:r>
    </w:p>
    <w:p w14:paraId="61235F41">
      <w:pPr>
        <w:pStyle w:val="84"/>
        <w:spacing w:before="120" w:after="120"/>
      </w:pPr>
      <w:r>
        <w:rPr>
          <w:rFonts w:hint="eastAsia"/>
        </w:rPr>
        <w:t>风险管理</w:t>
      </w:r>
    </w:p>
    <w:p w14:paraId="250A2039">
      <w:pPr>
        <w:pStyle w:val="4"/>
        <w:ind w:firstLine="420"/>
      </w:pPr>
      <w:r>
        <w:rPr>
          <w:rFonts w:hint="eastAsia"/>
        </w:rPr>
        <w:t>编制《农事突发事件应对机制》，涵盖病虫害爆发、极端天气、物流延迟等场景，设立应急联系人网络与物资调拨机制。</w:t>
      </w:r>
    </w:p>
    <w:p w14:paraId="1082FBDC">
      <w:pPr>
        <w:pStyle w:val="84"/>
        <w:spacing w:before="120" w:after="120"/>
      </w:pPr>
      <w:r>
        <w:rPr>
          <w:rFonts w:hint="eastAsia"/>
        </w:rPr>
        <w:t>关系测量和优化</w:t>
      </w:r>
    </w:p>
    <w:p w14:paraId="0C04CF89">
      <w:pPr>
        <w:pStyle w:val="4"/>
        <w:ind w:firstLine="420"/>
      </w:pPr>
      <w:r>
        <w:rPr>
          <w:rFonts w:hint="eastAsia"/>
        </w:rPr>
        <w:t>设置“绿色农业链合作仪表板”，定期对履约表现、协调响应、农户满意度等进行打分评估，报告反馈后由G企业组织协同改进会。</w:t>
      </w:r>
    </w:p>
    <w:p w14:paraId="2F9A7F7B">
      <w:pPr>
        <w:pStyle w:val="84"/>
        <w:spacing w:before="120" w:after="120"/>
      </w:pPr>
      <w:r>
        <w:rPr>
          <w:rFonts w:hint="eastAsia"/>
        </w:rPr>
        <w:t>退出策略</w:t>
      </w:r>
    </w:p>
    <w:p w14:paraId="431EDB8E">
      <w:pPr>
        <w:pStyle w:val="4"/>
        <w:ind w:firstLine="420"/>
      </w:pPr>
      <w:r>
        <w:rPr>
          <w:rFonts w:hint="eastAsia"/>
        </w:rPr>
        <w:t>协议设有退出预通知、商品召回、信息封存等条款，并设“绿色诚信退出公示机制”，确保退出方履责到底、未影响产业链整体运行与信誉。</w:t>
      </w:r>
    </w:p>
    <w:p w14:paraId="11D9BE37">
      <w:pPr>
        <w:pStyle w:val="83"/>
        <w:spacing w:before="120" w:after="120"/>
      </w:pPr>
      <w:r>
        <w:rPr>
          <w:rFonts w:hint="eastAsia"/>
        </w:rPr>
        <w:t>合作成效总结</w:t>
      </w:r>
    </w:p>
    <w:p w14:paraId="18598AB7">
      <w:pPr>
        <w:pStyle w:val="4"/>
        <w:ind w:firstLine="420"/>
      </w:pPr>
      <w:bookmarkStart w:id="80" w:name="_Hlk203038787"/>
      <w:r>
        <w:rPr>
          <w:rFonts w:hint="eastAsia"/>
        </w:rPr>
        <w:t>通过合作，达成如下合作成效：</w:t>
      </w:r>
    </w:p>
    <w:bookmarkEnd w:id="80"/>
    <w:p w14:paraId="6962FF79">
      <w:pPr>
        <w:pStyle w:val="136"/>
      </w:pPr>
      <w:r>
        <w:rPr>
          <w:rFonts w:hint="eastAsia"/>
        </w:rPr>
        <w:t>实现从农田到终端48小时内全链流通，绿色农产品损耗率下降42%；</w:t>
      </w:r>
    </w:p>
    <w:p w14:paraId="15EFA757">
      <w:pPr>
        <w:pStyle w:val="136"/>
      </w:pPr>
      <w:r>
        <w:rPr>
          <w:rFonts w:hint="eastAsia"/>
        </w:rPr>
        <w:t>构建覆盖50家合作农场、180家连锁门店的高频协同网络；</w:t>
      </w:r>
    </w:p>
    <w:p w14:paraId="25F37B0A">
      <w:pPr>
        <w:pStyle w:val="136"/>
      </w:pPr>
      <w:r>
        <w:rPr>
          <w:rFonts w:hint="eastAsia"/>
        </w:rPr>
        <w:t>联合获评“区域绿色农业示范项目”，形成三方联名农产品品牌；</w:t>
      </w:r>
    </w:p>
    <w:p w14:paraId="46939524">
      <w:pPr>
        <w:pStyle w:val="136"/>
      </w:pPr>
      <w:r>
        <w:rPr>
          <w:rFonts w:hint="eastAsia"/>
        </w:rPr>
        <w:t>签订长期战略合作协议，共同打造绿色食品数字孪生平台。</w:t>
      </w:r>
    </w:p>
    <w:p w14:paraId="73DEAED1">
      <w:pPr>
        <w:pStyle w:val="4"/>
        <w:ind w:firstLine="420"/>
      </w:pPr>
    </w:p>
    <w:p w14:paraId="21CF3D7B">
      <w:pPr>
        <w:pStyle w:val="4"/>
        <w:ind w:firstLine="420"/>
      </w:pPr>
    </w:p>
    <w:p w14:paraId="4CB3BFD7">
      <w:pPr>
        <w:pStyle w:val="4"/>
        <w:ind w:firstLine="420"/>
      </w:pPr>
    </w:p>
    <w:p w14:paraId="60B53016">
      <w:pPr>
        <w:pStyle w:val="4"/>
        <w:ind w:firstLine="420"/>
      </w:pPr>
    </w:p>
    <w:bookmarkEnd w:id="73"/>
    <w:p w14:paraId="79FDBE84">
      <w:pPr>
        <w:pStyle w:val="136"/>
        <w:numPr>
          <w:ilvl w:val="0"/>
          <w:numId w:val="0"/>
        </w:numPr>
        <w:ind w:left="425"/>
        <w:sectPr>
          <w:pgSz w:w="11906" w:h="16838"/>
          <w:pgMar w:top="1928" w:right="1134" w:bottom="1134" w:left="1134" w:header="1418" w:footer="1134" w:gutter="284"/>
          <w:cols w:space="425" w:num="1"/>
          <w:formProt w:val="0"/>
          <w:docGrid w:linePitch="312" w:charSpace="0"/>
        </w:sectPr>
      </w:pPr>
      <w:bookmarkStart w:id="81" w:name="BookMark6"/>
    </w:p>
    <w:p w14:paraId="7D5C916C">
      <w:pPr>
        <w:pStyle w:val="69"/>
        <w:spacing w:after="120"/>
      </w:pPr>
      <w:bookmarkStart w:id="82" w:name="_Toc203036652"/>
      <w:r>
        <w:rPr>
          <w:rFonts w:hint="eastAsia"/>
          <w:spacing w:val="105"/>
        </w:rPr>
        <w:t>参考文</w:t>
      </w:r>
      <w:r>
        <w:rPr>
          <w:rFonts w:hint="eastAsia"/>
        </w:rPr>
        <w:t>献</w:t>
      </w:r>
      <w:bookmarkEnd w:id="82"/>
    </w:p>
    <w:p w14:paraId="7F45D83A">
      <w:pPr>
        <w:pStyle w:val="4"/>
        <w:ind w:firstLine="420"/>
      </w:pPr>
    </w:p>
    <w:p w14:paraId="5EE14B7B">
      <w:pPr>
        <w:pStyle w:val="4"/>
        <w:ind w:firstLine="420"/>
      </w:pPr>
    </w:p>
    <w:p w14:paraId="5BA993E2">
      <w:pPr>
        <w:pStyle w:val="4"/>
        <w:numPr>
          <w:ilvl w:val="0"/>
          <w:numId w:val="34"/>
        </w:numPr>
        <w:ind w:firstLineChars="0"/>
      </w:pPr>
      <w:r>
        <w:rPr>
          <w:rFonts w:hint="eastAsia"/>
        </w:rPr>
        <w:t>中国国际贸易促进委员会.《全球供应链促进报告(2023)》[M].社会科学文献出版社,2024.</w:t>
      </w:r>
    </w:p>
    <w:p w14:paraId="1ECE967C">
      <w:pPr>
        <w:pStyle w:val="4"/>
        <w:numPr>
          <w:ilvl w:val="0"/>
          <w:numId w:val="34"/>
        </w:numPr>
        <w:ind w:firstLineChars="0"/>
      </w:pPr>
      <w:r>
        <w:t>Claudine Antoinette Soosay Paul Hyland,2015,</w:t>
      </w:r>
      <w:r>
        <w:rPr>
          <w:rFonts w:hint="eastAsia"/>
        </w:rPr>
        <w:t xml:space="preserve"> </w:t>
      </w:r>
      <w:r>
        <w:t>A decade of supply chain collaboration and directions for future research</w:t>
      </w:r>
      <w:r>
        <w:rPr>
          <w:rFonts w:hint="eastAsia"/>
        </w:rPr>
        <w:t xml:space="preserve">. </w:t>
      </w:r>
      <w:r>
        <w:t>Supply Chain Management: An International Journal, Vol</w:t>
      </w:r>
      <w:r>
        <w:rPr>
          <w:rFonts w:hint="eastAsia"/>
        </w:rPr>
        <w:t>.</w:t>
      </w:r>
      <w:r>
        <w:t>20 Iss 6 pp</w:t>
      </w:r>
      <w:r>
        <w:rPr>
          <w:rFonts w:hint="eastAsia"/>
        </w:rPr>
        <w:t>.</w:t>
      </w:r>
    </w:p>
    <w:p w14:paraId="374EA63F">
      <w:pPr>
        <w:pStyle w:val="4"/>
        <w:numPr>
          <w:ilvl w:val="0"/>
          <w:numId w:val="34"/>
        </w:numPr>
        <w:ind w:firstLineChars="0"/>
      </w:pPr>
      <w:r>
        <w:rPr>
          <w:rFonts w:hint="eastAsia"/>
        </w:rPr>
        <w:t>链博会.</w:t>
      </w:r>
      <w:r>
        <w:t>https://www.cisce.org.cn/</w:t>
      </w:r>
      <w:r>
        <w:rPr>
          <w:rFonts w:hint="eastAsia"/>
        </w:rPr>
        <w:t>.</w:t>
      </w:r>
    </w:p>
    <w:p w14:paraId="4342C952">
      <w:pPr>
        <w:pStyle w:val="4"/>
        <w:numPr>
          <w:ilvl w:val="0"/>
          <w:numId w:val="34"/>
        </w:numPr>
        <w:ind w:firstLineChars="0"/>
      </w:pPr>
      <w:r>
        <w:rPr>
          <w:rFonts w:hint="eastAsia"/>
        </w:rPr>
        <w:t>GB/T 43834 《协作业务关系管理 大型组织寻求与中小微企业(MSMEs)协作的指南》</w:t>
      </w:r>
    </w:p>
    <w:p w14:paraId="7B02D460">
      <w:pPr>
        <w:pStyle w:val="136"/>
        <w:numPr>
          <w:ilvl w:val="0"/>
          <w:numId w:val="0"/>
        </w:numPr>
        <w:ind w:left="425"/>
      </w:pPr>
    </w:p>
    <w:bookmarkEnd w:id="81"/>
    <w:p w14:paraId="38869042">
      <w:pPr>
        <w:pStyle w:val="136"/>
        <w:numPr>
          <w:ilvl w:val="0"/>
          <w:numId w:val="0"/>
        </w:numPr>
        <w:ind w:left="425"/>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920C">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05B9">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2A86">
    <w:pPr>
      <w:pStyle w:val="59"/>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0EA5">
    <w:pPr>
      <w:pStyle w:val="59"/>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7DA8">
    <w:pPr>
      <w:pStyle w:val="21"/>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BF3C6">
    <w:pPr>
      <w:pStyle w:val="59"/>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01CB">
    <w:pPr>
      <w:pStyle w:val="22"/>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F52C">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2817">
    <w:pPr>
      <w:pStyle w:val="67"/>
      <w:rPr>
        <w:rFonts w:hint="eastAsia"/>
      </w:rPr>
    </w:pPr>
    <w:r>
      <w:fldChar w:fldCharType="begin"/>
    </w:r>
    <w:r>
      <w:instrText xml:space="preserve"> STYLEREF  标准文件_文件编号  \* MERGEFORMAT </w:instrText>
    </w:r>
    <w:r>
      <w:fldChar w:fldCharType="separate"/>
    </w:r>
    <w:r>
      <w:t>T/CCPITCSC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8B61">
    <w:pPr>
      <w:pStyle w:val="22"/>
      <w:jc w:val="right"/>
    </w:pPr>
    <w:r>
      <w:fldChar w:fldCharType="begin"/>
    </w:r>
    <w:r>
      <w:instrText xml:space="preserve"> STYLEREF  标准文件_文件编号  \* MERGEFORMAT </w:instrText>
    </w:r>
    <w:r>
      <w:fldChar w:fldCharType="separate"/>
    </w:r>
    <w:r>
      <w:t>T/CCPITCSC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D6DF">
    <w:pPr>
      <w:pStyle w:val="67"/>
      <w:rPr>
        <w:rFonts w:hint="eastAsia"/>
      </w:rPr>
    </w:pPr>
    <w:r>
      <w:fldChar w:fldCharType="begin"/>
    </w:r>
    <w:r>
      <w:instrText xml:space="preserve"> STYLEREF  标准文件_文件编号  \* MERGEFORMAT </w:instrText>
    </w:r>
    <w:r>
      <w:fldChar w:fldCharType="separate"/>
    </w:r>
    <w:r>
      <w:t>T/CCPITCSC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005A">
    <w:pPr>
      <w:pStyle w:val="22"/>
      <w:jc w:val="right"/>
    </w:pPr>
    <w:r>
      <w:fldChar w:fldCharType="begin"/>
    </w:r>
    <w:r>
      <w:instrText xml:space="preserve"> STYLEREF  标准文件_文件编号  \* MERGEFORMAT </w:instrText>
    </w:r>
    <w:r>
      <w:fldChar w:fldCharType="separate"/>
    </w:r>
    <w:r>
      <w:t>T/CCPITCSC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0435"/>
        </w:tabs>
        <w:ind w:left="10435" w:hanging="648"/>
      </w:pPr>
    </w:lvl>
    <w:lvl w:ilvl="1" w:tentative="0">
      <w:start w:val="1"/>
      <w:numFmt w:val="lowerLetter"/>
      <w:lvlText w:val="%2)"/>
      <w:lvlJc w:val="left"/>
      <w:pPr>
        <w:tabs>
          <w:tab w:val="left" w:pos="10627"/>
        </w:tabs>
        <w:ind w:left="10627" w:hanging="420"/>
      </w:pPr>
    </w:lvl>
    <w:lvl w:ilvl="2" w:tentative="0">
      <w:start w:val="1"/>
      <w:numFmt w:val="lowerRoman"/>
      <w:lvlText w:val="%3."/>
      <w:lvlJc w:val="right"/>
      <w:pPr>
        <w:tabs>
          <w:tab w:val="left" w:pos="11047"/>
        </w:tabs>
        <w:ind w:left="11047" w:hanging="420"/>
      </w:pPr>
    </w:lvl>
    <w:lvl w:ilvl="3" w:tentative="0">
      <w:start w:val="1"/>
      <w:numFmt w:val="decimal"/>
      <w:lvlText w:val="%4."/>
      <w:lvlJc w:val="left"/>
      <w:pPr>
        <w:tabs>
          <w:tab w:val="left" w:pos="11467"/>
        </w:tabs>
        <w:ind w:left="11467" w:hanging="420"/>
      </w:pPr>
    </w:lvl>
    <w:lvl w:ilvl="4" w:tentative="0">
      <w:start w:val="1"/>
      <w:numFmt w:val="lowerLetter"/>
      <w:lvlText w:val="%5)"/>
      <w:lvlJc w:val="left"/>
      <w:pPr>
        <w:tabs>
          <w:tab w:val="left" w:pos="11887"/>
        </w:tabs>
        <w:ind w:left="11887" w:hanging="420"/>
      </w:pPr>
    </w:lvl>
    <w:lvl w:ilvl="5" w:tentative="0">
      <w:start w:val="1"/>
      <w:numFmt w:val="lowerRoman"/>
      <w:lvlText w:val="%6."/>
      <w:lvlJc w:val="right"/>
      <w:pPr>
        <w:tabs>
          <w:tab w:val="left" w:pos="12307"/>
        </w:tabs>
        <w:ind w:left="12307" w:hanging="420"/>
      </w:pPr>
    </w:lvl>
    <w:lvl w:ilvl="6" w:tentative="0">
      <w:start w:val="1"/>
      <w:numFmt w:val="decimal"/>
      <w:lvlText w:val="%7."/>
      <w:lvlJc w:val="left"/>
      <w:pPr>
        <w:tabs>
          <w:tab w:val="left" w:pos="12727"/>
        </w:tabs>
        <w:ind w:left="12727" w:hanging="420"/>
      </w:pPr>
    </w:lvl>
    <w:lvl w:ilvl="7" w:tentative="0">
      <w:start w:val="1"/>
      <w:numFmt w:val="lowerLetter"/>
      <w:lvlText w:val="%8)"/>
      <w:lvlJc w:val="left"/>
      <w:pPr>
        <w:tabs>
          <w:tab w:val="left" w:pos="13147"/>
        </w:tabs>
        <w:ind w:left="13147" w:hanging="420"/>
      </w:pPr>
    </w:lvl>
    <w:lvl w:ilvl="8" w:tentative="0">
      <w:start w:val="1"/>
      <w:numFmt w:val="lowerRoman"/>
      <w:lvlText w:val="%9."/>
      <w:lvlJc w:val="right"/>
      <w:pPr>
        <w:tabs>
          <w:tab w:val="left" w:pos="13567"/>
        </w:tabs>
        <w:ind w:left="13567"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426"/>
        </w:tabs>
        <w:ind w:left="426"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12A77F8"/>
    <w:multiLevelType w:val="multilevel"/>
    <w:tmpl w:val="512A77F8"/>
    <w:lvl w:ilvl="0" w:tentative="0">
      <w:start w:val="1"/>
      <w:numFmt w:val="decimal"/>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2126"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3"/>
      <w:suff w:val="nothing"/>
      <w:lvlText w:val="%1%2　"/>
      <w:lvlJc w:val="left"/>
      <w:pPr>
        <w:ind w:left="850" w:firstLine="0"/>
      </w:pPr>
      <w:rPr>
        <w:rFonts w:hint="eastAsia" w:ascii="黑体" w:eastAsia="黑体"/>
        <w:b w:val="0"/>
        <w:i w:val="0"/>
        <w:sz w:val="21"/>
      </w:rPr>
    </w:lvl>
    <w:lvl w:ilvl="2" w:tentative="0">
      <w:start w:val="1"/>
      <w:numFmt w:val="decimal"/>
      <w:pStyle w:val="109"/>
      <w:suff w:val="nothing"/>
      <w:lvlText w:val="%1%2.%3　"/>
      <w:lvlJc w:val="left"/>
      <w:pPr>
        <w:ind w:left="19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
      <w:suff w:val="nothing"/>
      <w:lvlText w:val="%1%2.%3.%4　"/>
      <w:lvlJc w:val="left"/>
      <w:pPr>
        <w:ind w:left="567" w:firstLine="0"/>
      </w:pPr>
      <w:rPr>
        <w:rFonts w:hint="eastAsia" w:ascii="黑体" w:eastAsia="黑体"/>
        <w:b w:val="0"/>
        <w:i w:val="0"/>
        <w:sz w:val="21"/>
      </w:rPr>
    </w:lvl>
    <w:lvl w:ilvl="4" w:tentative="0">
      <w:start w:val="1"/>
      <w:numFmt w:val="decimal"/>
      <w:pStyle w:val="99"/>
      <w:suff w:val="nothing"/>
      <w:lvlText w:val="%1%2.%3.%4.%5　"/>
      <w:lvlJc w:val="left"/>
      <w:pPr>
        <w:ind w:left="3402"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99" w:hanging="374"/>
      </w:pPr>
      <w:rPr>
        <w:rFonts w:hint="eastAsia" w:ascii="黑体" w:eastAsia="黑体"/>
        <w:b w:val="0"/>
        <w:i w:val="0"/>
        <w:sz w:val="18"/>
      </w:rPr>
    </w:lvl>
    <w:lvl w:ilvl="1" w:tentative="0">
      <w:start w:val="1"/>
      <w:numFmt w:val="lowerLetter"/>
      <w:lvlText w:val="%2)"/>
      <w:lvlJc w:val="left"/>
      <w:pPr>
        <w:tabs>
          <w:tab w:val="left" w:pos="-1128"/>
        </w:tabs>
        <w:ind w:left="-1542" w:hanging="363"/>
      </w:pPr>
      <w:rPr>
        <w:rFonts w:hint="eastAsia"/>
      </w:rPr>
    </w:lvl>
    <w:lvl w:ilvl="2" w:tentative="0">
      <w:start w:val="1"/>
      <w:numFmt w:val="lowerRoman"/>
      <w:lvlText w:val="%3."/>
      <w:lvlJc w:val="right"/>
      <w:pPr>
        <w:tabs>
          <w:tab w:val="left" w:pos="-1128"/>
        </w:tabs>
        <w:ind w:left="-1542" w:hanging="363"/>
      </w:pPr>
      <w:rPr>
        <w:rFonts w:hint="eastAsia"/>
      </w:rPr>
    </w:lvl>
    <w:lvl w:ilvl="3" w:tentative="0">
      <w:start w:val="1"/>
      <w:numFmt w:val="decimal"/>
      <w:lvlText w:val="%4."/>
      <w:lvlJc w:val="left"/>
      <w:pPr>
        <w:tabs>
          <w:tab w:val="left" w:pos="-1128"/>
        </w:tabs>
        <w:ind w:left="-1542" w:hanging="363"/>
      </w:pPr>
      <w:rPr>
        <w:rFonts w:hint="eastAsia"/>
      </w:rPr>
    </w:lvl>
    <w:lvl w:ilvl="4" w:tentative="0">
      <w:start w:val="1"/>
      <w:numFmt w:val="lowerLetter"/>
      <w:lvlText w:val="%5)"/>
      <w:lvlJc w:val="left"/>
      <w:pPr>
        <w:tabs>
          <w:tab w:val="left" w:pos="-1128"/>
        </w:tabs>
        <w:ind w:left="-1542" w:hanging="363"/>
      </w:pPr>
      <w:rPr>
        <w:rFonts w:hint="eastAsia"/>
      </w:rPr>
    </w:lvl>
    <w:lvl w:ilvl="5" w:tentative="0">
      <w:start w:val="1"/>
      <w:numFmt w:val="lowerRoman"/>
      <w:lvlText w:val="%6."/>
      <w:lvlJc w:val="right"/>
      <w:pPr>
        <w:tabs>
          <w:tab w:val="left" w:pos="-1128"/>
        </w:tabs>
        <w:ind w:left="-1542" w:hanging="363"/>
      </w:pPr>
      <w:rPr>
        <w:rFonts w:hint="eastAsia"/>
      </w:rPr>
    </w:lvl>
    <w:lvl w:ilvl="6" w:tentative="0">
      <w:start w:val="1"/>
      <w:numFmt w:val="decimal"/>
      <w:lvlText w:val="%7."/>
      <w:lvlJc w:val="left"/>
      <w:pPr>
        <w:tabs>
          <w:tab w:val="left" w:pos="-1128"/>
        </w:tabs>
        <w:ind w:left="-1542" w:hanging="363"/>
      </w:pPr>
      <w:rPr>
        <w:rFonts w:hint="eastAsia"/>
      </w:rPr>
    </w:lvl>
    <w:lvl w:ilvl="7" w:tentative="0">
      <w:start w:val="1"/>
      <w:numFmt w:val="lowerLetter"/>
      <w:lvlText w:val="%8)"/>
      <w:lvlJc w:val="left"/>
      <w:pPr>
        <w:tabs>
          <w:tab w:val="left" w:pos="-1128"/>
        </w:tabs>
        <w:ind w:left="-1542" w:hanging="363"/>
      </w:pPr>
      <w:rPr>
        <w:rFonts w:hint="eastAsia"/>
      </w:rPr>
    </w:lvl>
    <w:lvl w:ilvl="8" w:tentative="0">
      <w:start w:val="1"/>
      <w:numFmt w:val="lowerRoman"/>
      <w:lvlText w:val="%9."/>
      <w:lvlJc w:val="right"/>
      <w:pPr>
        <w:tabs>
          <w:tab w:val="left" w:pos="-1128"/>
        </w:tabs>
        <w:ind w:left="-1542"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0"/>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56"/>
    <w:rsid w:val="0000040A"/>
    <w:rsid w:val="00000A94"/>
    <w:rsid w:val="00001972"/>
    <w:rsid w:val="00001D9A"/>
    <w:rsid w:val="000033CB"/>
    <w:rsid w:val="000066BA"/>
    <w:rsid w:val="00007B3A"/>
    <w:rsid w:val="000105E9"/>
    <w:rsid w:val="000107E0"/>
    <w:rsid w:val="00011FDE"/>
    <w:rsid w:val="00012FFD"/>
    <w:rsid w:val="00013C94"/>
    <w:rsid w:val="00014162"/>
    <w:rsid w:val="00014340"/>
    <w:rsid w:val="000149A4"/>
    <w:rsid w:val="00016A9C"/>
    <w:rsid w:val="00022184"/>
    <w:rsid w:val="00022762"/>
    <w:rsid w:val="000231A7"/>
    <w:rsid w:val="00023478"/>
    <w:rsid w:val="000238E0"/>
    <w:rsid w:val="000249DB"/>
    <w:rsid w:val="0002595E"/>
    <w:rsid w:val="00025B20"/>
    <w:rsid w:val="000303C3"/>
    <w:rsid w:val="000331D3"/>
    <w:rsid w:val="00033856"/>
    <w:rsid w:val="000346A5"/>
    <w:rsid w:val="000359C3"/>
    <w:rsid w:val="00035A7D"/>
    <w:rsid w:val="000365ED"/>
    <w:rsid w:val="00037BA0"/>
    <w:rsid w:val="00040247"/>
    <w:rsid w:val="00040AC7"/>
    <w:rsid w:val="0004249A"/>
    <w:rsid w:val="00043282"/>
    <w:rsid w:val="00044286"/>
    <w:rsid w:val="00047048"/>
    <w:rsid w:val="00047F28"/>
    <w:rsid w:val="000503AA"/>
    <w:rsid w:val="0005045E"/>
    <w:rsid w:val="000504D7"/>
    <w:rsid w:val="000506A1"/>
    <w:rsid w:val="000514CA"/>
    <w:rsid w:val="000515DD"/>
    <w:rsid w:val="00051AAB"/>
    <w:rsid w:val="0005265A"/>
    <w:rsid w:val="00052B9F"/>
    <w:rsid w:val="000539DD"/>
    <w:rsid w:val="00053BD3"/>
    <w:rsid w:val="000556ED"/>
    <w:rsid w:val="00055FE2"/>
    <w:rsid w:val="0005616F"/>
    <w:rsid w:val="0005625C"/>
    <w:rsid w:val="00057D38"/>
    <w:rsid w:val="00060C2E"/>
    <w:rsid w:val="00060E8A"/>
    <w:rsid w:val="00061033"/>
    <w:rsid w:val="000619E9"/>
    <w:rsid w:val="000622D4"/>
    <w:rsid w:val="0006357D"/>
    <w:rsid w:val="00063D65"/>
    <w:rsid w:val="000644C5"/>
    <w:rsid w:val="00064DC3"/>
    <w:rsid w:val="000657A4"/>
    <w:rsid w:val="00067F1E"/>
    <w:rsid w:val="0007096C"/>
    <w:rsid w:val="00071CC0"/>
    <w:rsid w:val="00071CFC"/>
    <w:rsid w:val="00073C8C"/>
    <w:rsid w:val="0007744A"/>
    <w:rsid w:val="00077B64"/>
    <w:rsid w:val="00080A1C"/>
    <w:rsid w:val="00081FD8"/>
    <w:rsid w:val="00082317"/>
    <w:rsid w:val="00083D2C"/>
    <w:rsid w:val="00086AA1"/>
    <w:rsid w:val="00086B1D"/>
    <w:rsid w:val="00087548"/>
    <w:rsid w:val="00087A77"/>
    <w:rsid w:val="00087B7B"/>
    <w:rsid w:val="0009015F"/>
    <w:rsid w:val="00090CA6"/>
    <w:rsid w:val="000914C3"/>
    <w:rsid w:val="0009210A"/>
    <w:rsid w:val="00092B8A"/>
    <w:rsid w:val="00092FB0"/>
    <w:rsid w:val="000934C5"/>
    <w:rsid w:val="00093D25"/>
    <w:rsid w:val="00093DAB"/>
    <w:rsid w:val="000949AC"/>
    <w:rsid w:val="00094D73"/>
    <w:rsid w:val="00095D0E"/>
    <w:rsid w:val="0009614A"/>
    <w:rsid w:val="00096D63"/>
    <w:rsid w:val="000A0AC1"/>
    <w:rsid w:val="000A0B60"/>
    <w:rsid w:val="000A0EB8"/>
    <w:rsid w:val="000A19FC"/>
    <w:rsid w:val="000A296B"/>
    <w:rsid w:val="000A3DEA"/>
    <w:rsid w:val="000A48AE"/>
    <w:rsid w:val="000A62D6"/>
    <w:rsid w:val="000A7311"/>
    <w:rsid w:val="000A7896"/>
    <w:rsid w:val="000B060F"/>
    <w:rsid w:val="000B1592"/>
    <w:rsid w:val="000B1FF2"/>
    <w:rsid w:val="000B250A"/>
    <w:rsid w:val="000B2DA4"/>
    <w:rsid w:val="000B387F"/>
    <w:rsid w:val="000B3CDA"/>
    <w:rsid w:val="000B52F1"/>
    <w:rsid w:val="000B63B9"/>
    <w:rsid w:val="000B6A0B"/>
    <w:rsid w:val="000C0F6C"/>
    <w:rsid w:val="000C11DB"/>
    <w:rsid w:val="000C1492"/>
    <w:rsid w:val="000C2FBD"/>
    <w:rsid w:val="000C49DD"/>
    <w:rsid w:val="000C4B41"/>
    <w:rsid w:val="000C57D6"/>
    <w:rsid w:val="000C6362"/>
    <w:rsid w:val="000C6552"/>
    <w:rsid w:val="000C6A75"/>
    <w:rsid w:val="000C7666"/>
    <w:rsid w:val="000C77E3"/>
    <w:rsid w:val="000D0A15"/>
    <w:rsid w:val="000D0A9C"/>
    <w:rsid w:val="000D0B8E"/>
    <w:rsid w:val="000D1795"/>
    <w:rsid w:val="000D1E6A"/>
    <w:rsid w:val="000D329A"/>
    <w:rsid w:val="000D4A5E"/>
    <w:rsid w:val="000D4B9C"/>
    <w:rsid w:val="000D4EB6"/>
    <w:rsid w:val="000D753B"/>
    <w:rsid w:val="000E4C9E"/>
    <w:rsid w:val="000E6FD7"/>
    <w:rsid w:val="000E7144"/>
    <w:rsid w:val="000F06E1"/>
    <w:rsid w:val="000F06F1"/>
    <w:rsid w:val="000F0E3C"/>
    <w:rsid w:val="000F19D5"/>
    <w:rsid w:val="000F2739"/>
    <w:rsid w:val="000F4050"/>
    <w:rsid w:val="000F4AEA"/>
    <w:rsid w:val="000F5152"/>
    <w:rsid w:val="000F5ED2"/>
    <w:rsid w:val="000F67E9"/>
    <w:rsid w:val="000F6C6C"/>
    <w:rsid w:val="000F7353"/>
    <w:rsid w:val="000F7A17"/>
    <w:rsid w:val="00101D38"/>
    <w:rsid w:val="00104926"/>
    <w:rsid w:val="00105A53"/>
    <w:rsid w:val="00106A1E"/>
    <w:rsid w:val="0010757C"/>
    <w:rsid w:val="00113B1E"/>
    <w:rsid w:val="00116971"/>
    <w:rsid w:val="0011711C"/>
    <w:rsid w:val="00124138"/>
    <w:rsid w:val="00124E4F"/>
    <w:rsid w:val="001260B7"/>
    <w:rsid w:val="001265CB"/>
    <w:rsid w:val="001321C6"/>
    <w:rsid w:val="001325C4"/>
    <w:rsid w:val="00133010"/>
    <w:rsid w:val="001338EE"/>
    <w:rsid w:val="00133AAE"/>
    <w:rsid w:val="00133AF5"/>
    <w:rsid w:val="00135323"/>
    <w:rsid w:val="001356C4"/>
    <w:rsid w:val="00136B1E"/>
    <w:rsid w:val="00137565"/>
    <w:rsid w:val="00137A0E"/>
    <w:rsid w:val="00140521"/>
    <w:rsid w:val="00141114"/>
    <w:rsid w:val="00142748"/>
    <w:rsid w:val="00142969"/>
    <w:rsid w:val="001446C2"/>
    <w:rsid w:val="00144DE8"/>
    <w:rsid w:val="001457E7"/>
    <w:rsid w:val="00145D9D"/>
    <w:rsid w:val="00146388"/>
    <w:rsid w:val="00151BA1"/>
    <w:rsid w:val="001529E5"/>
    <w:rsid w:val="00152FB3"/>
    <w:rsid w:val="00153C7E"/>
    <w:rsid w:val="00153FCE"/>
    <w:rsid w:val="00156B25"/>
    <w:rsid w:val="00156B6A"/>
    <w:rsid w:val="00156E1A"/>
    <w:rsid w:val="00157894"/>
    <w:rsid w:val="00157B55"/>
    <w:rsid w:val="001613A5"/>
    <w:rsid w:val="00162C6B"/>
    <w:rsid w:val="001642FA"/>
    <w:rsid w:val="00164411"/>
    <w:rsid w:val="00164796"/>
    <w:rsid w:val="00164984"/>
    <w:rsid w:val="001649EB"/>
    <w:rsid w:val="00164B09"/>
    <w:rsid w:val="00164BAF"/>
    <w:rsid w:val="00164FA8"/>
    <w:rsid w:val="00165065"/>
    <w:rsid w:val="00165434"/>
    <w:rsid w:val="0016580B"/>
    <w:rsid w:val="00165F49"/>
    <w:rsid w:val="00166B88"/>
    <w:rsid w:val="00166F66"/>
    <w:rsid w:val="0016770A"/>
    <w:rsid w:val="00170804"/>
    <w:rsid w:val="001708AD"/>
    <w:rsid w:val="001708E9"/>
    <w:rsid w:val="00170D74"/>
    <w:rsid w:val="0017234F"/>
    <w:rsid w:val="0017340B"/>
    <w:rsid w:val="00173FB1"/>
    <w:rsid w:val="00174157"/>
    <w:rsid w:val="0017554B"/>
    <w:rsid w:val="001759A5"/>
    <w:rsid w:val="001760AF"/>
    <w:rsid w:val="00176DFD"/>
    <w:rsid w:val="001775C5"/>
    <w:rsid w:val="00183647"/>
    <w:rsid w:val="001840D6"/>
    <w:rsid w:val="0018524A"/>
    <w:rsid w:val="001852C9"/>
    <w:rsid w:val="00185345"/>
    <w:rsid w:val="00185AC4"/>
    <w:rsid w:val="001874A8"/>
    <w:rsid w:val="00187A0B"/>
    <w:rsid w:val="00190087"/>
    <w:rsid w:val="0019096D"/>
    <w:rsid w:val="001913C4"/>
    <w:rsid w:val="00192EAF"/>
    <w:rsid w:val="0019348F"/>
    <w:rsid w:val="00193A07"/>
    <w:rsid w:val="001946F4"/>
    <w:rsid w:val="00194C95"/>
    <w:rsid w:val="00195C34"/>
    <w:rsid w:val="00196EF5"/>
    <w:rsid w:val="001A0321"/>
    <w:rsid w:val="001A078E"/>
    <w:rsid w:val="001A1A53"/>
    <w:rsid w:val="001A2205"/>
    <w:rsid w:val="001A234A"/>
    <w:rsid w:val="001A268F"/>
    <w:rsid w:val="001A4CF3"/>
    <w:rsid w:val="001A4CF5"/>
    <w:rsid w:val="001A6696"/>
    <w:rsid w:val="001A7C72"/>
    <w:rsid w:val="001B06E8"/>
    <w:rsid w:val="001B06F0"/>
    <w:rsid w:val="001B0C45"/>
    <w:rsid w:val="001B1952"/>
    <w:rsid w:val="001B1BA3"/>
    <w:rsid w:val="001B1E67"/>
    <w:rsid w:val="001B2119"/>
    <w:rsid w:val="001B230F"/>
    <w:rsid w:val="001B545D"/>
    <w:rsid w:val="001B5C0A"/>
    <w:rsid w:val="001B6DDE"/>
    <w:rsid w:val="001B71D0"/>
    <w:rsid w:val="001B71EE"/>
    <w:rsid w:val="001C04A8"/>
    <w:rsid w:val="001C13C6"/>
    <w:rsid w:val="001C2C03"/>
    <w:rsid w:val="001C3DF3"/>
    <w:rsid w:val="001C42F7"/>
    <w:rsid w:val="001C49E5"/>
    <w:rsid w:val="001C5B77"/>
    <w:rsid w:val="001C680C"/>
    <w:rsid w:val="001C7FEA"/>
    <w:rsid w:val="001D0499"/>
    <w:rsid w:val="001D0BBE"/>
    <w:rsid w:val="001D0ED4"/>
    <w:rsid w:val="001D212F"/>
    <w:rsid w:val="001D29D7"/>
    <w:rsid w:val="001D2DE7"/>
    <w:rsid w:val="001D32DE"/>
    <w:rsid w:val="001D411C"/>
    <w:rsid w:val="001D4993"/>
    <w:rsid w:val="001E1B6A"/>
    <w:rsid w:val="001E2484"/>
    <w:rsid w:val="001E39D3"/>
    <w:rsid w:val="001E3CC4"/>
    <w:rsid w:val="001E3E5A"/>
    <w:rsid w:val="001E447C"/>
    <w:rsid w:val="001E4882"/>
    <w:rsid w:val="001E6078"/>
    <w:rsid w:val="001E73AB"/>
    <w:rsid w:val="001F092D"/>
    <w:rsid w:val="001F1315"/>
    <w:rsid w:val="001F143A"/>
    <w:rsid w:val="001F1605"/>
    <w:rsid w:val="001F2508"/>
    <w:rsid w:val="001F4816"/>
    <w:rsid w:val="001F518A"/>
    <w:rsid w:val="001F621D"/>
    <w:rsid w:val="001F69B4"/>
    <w:rsid w:val="001F77C7"/>
    <w:rsid w:val="00200183"/>
    <w:rsid w:val="00200333"/>
    <w:rsid w:val="0020107D"/>
    <w:rsid w:val="00202AA4"/>
    <w:rsid w:val="00202B97"/>
    <w:rsid w:val="002031F7"/>
    <w:rsid w:val="002040E6"/>
    <w:rsid w:val="0020527B"/>
    <w:rsid w:val="00205F2C"/>
    <w:rsid w:val="00206401"/>
    <w:rsid w:val="00206477"/>
    <w:rsid w:val="00206991"/>
    <w:rsid w:val="00206D5E"/>
    <w:rsid w:val="00210B15"/>
    <w:rsid w:val="00211002"/>
    <w:rsid w:val="002117DC"/>
    <w:rsid w:val="00213F95"/>
    <w:rsid w:val="002142EA"/>
    <w:rsid w:val="002144EF"/>
    <w:rsid w:val="00214972"/>
    <w:rsid w:val="00215ADD"/>
    <w:rsid w:val="00217680"/>
    <w:rsid w:val="002204BB"/>
    <w:rsid w:val="00221B79"/>
    <w:rsid w:val="00221C6B"/>
    <w:rsid w:val="002253A1"/>
    <w:rsid w:val="00225CF8"/>
    <w:rsid w:val="00226B0E"/>
    <w:rsid w:val="0022772C"/>
    <w:rsid w:val="0022794E"/>
    <w:rsid w:val="00230255"/>
    <w:rsid w:val="00230887"/>
    <w:rsid w:val="00230AD8"/>
    <w:rsid w:val="00231510"/>
    <w:rsid w:val="00232DD1"/>
    <w:rsid w:val="00233D64"/>
    <w:rsid w:val="0023482A"/>
    <w:rsid w:val="002359CB"/>
    <w:rsid w:val="00243540"/>
    <w:rsid w:val="002436B9"/>
    <w:rsid w:val="0024497B"/>
    <w:rsid w:val="00244F9F"/>
    <w:rsid w:val="0024515B"/>
    <w:rsid w:val="00246021"/>
    <w:rsid w:val="0024666E"/>
    <w:rsid w:val="002472BB"/>
    <w:rsid w:val="002478FC"/>
    <w:rsid w:val="00247F52"/>
    <w:rsid w:val="00250B25"/>
    <w:rsid w:val="00250BBE"/>
    <w:rsid w:val="0025123C"/>
    <w:rsid w:val="002515C2"/>
    <w:rsid w:val="0025194F"/>
    <w:rsid w:val="00254A69"/>
    <w:rsid w:val="002612AE"/>
    <w:rsid w:val="0026148A"/>
    <w:rsid w:val="00262696"/>
    <w:rsid w:val="00263D25"/>
    <w:rsid w:val="002643C3"/>
    <w:rsid w:val="00264855"/>
    <w:rsid w:val="00264A0C"/>
    <w:rsid w:val="00266EEB"/>
    <w:rsid w:val="00267EF4"/>
    <w:rsid w:val="0027068C"/>
    <w:rsid w:val="00270CB8"/>
    <w:rsid w:val="00270D56"/>
    <w:rsid w:val="002725B3"/>
    <w:rsid w:val="00272B08"/>
    <w:rsid w:val="00272CB3"/>
    <w:rsid w:val="00273389"/>
    <w:rsid w:val="00276B3B"/>
    <w:rsid w:val="00281011"/>
    <w:rsid w:val="00281BB8"/>
    <w:rsid w:val="00281E9E"/>
    <w:rsid w:val="00282405"/>
    <w:rsid w:val="00285170"/>
    <w:rsid w:val="00285361"/>
    <w:rsid w:val="00287492"/>
    <w:rsid w:val="00291CA1"/>
    <w:rsid w:val="002920D3"/>
    <w:rsid w:val="00292D60"/>
    <w:rsid w:val="00293B30"/>
    <w:rsid w:val="00294D34"/>
    <w:rsid w:val="00294E3B"/>
    <w:rsid w:val="00296193"/>
    <w:rsid w:val="00296C66"/>
    <w:rsid w:val="00296EBE"/>
    <w:rsid w:val="002972F3"/>
    <w:rsid w:val="002974E3"/>
    <w:rsid w:val="002A084B"/>
    <w:rsid w:val="002A0C7A"/>
    <w:rsid w:val="002A1260"/>
    <w:rsid w:val="002A1589"/>
    <w:rsid w:val="002A1608"/>
    <w:rsid w:val="002A1F2D"/>
    <w:rsid w:val="002A25DC"/>
    <w:rsid w:val="002A32AC"/>
    <w:rsid w:val="002A3AAB"/>
    <w:rsid w:val="002A44A1"/>
    <w:rsid w:val="002A4CEA"/>
    <w:rsid w:val="002A4FB0"/>
    <w:rsid w:val="002A542C"/>
    <w:rsid w:val="002A5977"/>
    <w:rsid w:val="002A5A13"/>
    <w:rsid w:val="002A6865"/>
    <w:rsid w:val="002A757F"/>
    <w:rsid w:val="002A7CCB"/>
    <w:rsid w:val="002A7F44"/>
    <w:rsid w:val="002B02D5"/>
    <w:rsid w:val="002B0AED"/>
    <w:rsid w:val="002B0C40"/>
    <w:rsid w:val="002B1966"/>
    <w:rsid w:val="002B1D2F"/>
    <w:rsid w:val="002B2F66"/>
    <w:rsid w:val="002B3DEA"/>
    <w:rsid w:val="002B4508"/>
    <w:rsid w:val="002B5779"/>
    <w:rsid w:val="002B7332"/>
    <w:rsid w:val="002B7534"/>
    <w:rsid w:val="002B78E8"/>
    <w:rsid w:val="002B7F51"/>
    <w:rsid w:val="002C09E7"/>
    <w:rsid w:val="002C1391"/>
    <w:rsid w:val="002C1A91"/>
    <w:rsid w:val="002C1E06"/>
    <w:rsid w:val="002C27E6"/>
    <w:rsid w:val="002C3F07"/>
    <w:rsid w:val="002C5278"/>
    <w:rsid w:val="002C7D18"/>
    <w:rsid w:val="002C7EBB"/>
    <w:rsid w:val="002D06C1"/>
    <w:rsid w:val="002D1C7C"/>
    <w:rsid w:val="002D34B2"/>
    <w:rsid w:val="002D42B5"/>
    <w:rsid w:val="002D4F1A"/>
    <w:rsid w:val="002D6EC6"/>
    <w:rsid w:val="002D79AC"/>
    <w:rsid w:val="002E039D"/>
    <w:rsid w:val="002E1540"/>
    <w:rsid w:val="002E1911"/>
    <w:rsid w:val="002E23BC"/>
    <w:rsid w:val="002E4D5A"/>
    <w:rsid w:val="002E55DD"/>
    <w:rsid w:val="002E5E25"/>
    <w:rsid w:val="002E6326"/>
    <w:rsid w:val="002E726E"/>
    <w:rsid w:val="002F30E0"/>
    <w:rsid w:val="002F35E4"/>
    <w:rsid w:val="002F3730"/>
    <w:rsid w:val="002F38E1"/>
    <w:rsid w:val="002F3F53"/>
    <w:rsid w:val="002F7A52"/>
    <w:rsid w:val="002F7AF6"/>
    <w:rsid w:val="00300E63"/>
    <w:rsid w:val="00302C7A"/>
    <w:rsid w:val="00302D57"/>
    <w:rsid w:val="00302F5F"/>
    <w:rsid w:val="0030441D"/>
    <w:rsid w:val="00305F80"/>
    <w:rsid w:val="00306063"/>
    <w:rsid w:val="0030622E"/>
    <w:rsid w:val="00306D75"/>
    <w:rsid w:val="00313B85"/>
    <w:rsid w:val="00313F5D"/>
    <w:rsid w:val="00314824"/>
    <w:rsid w:val="00316A0C"/>
    <w:rsid w:val="00316F6A"/>
    <w:rsid w:val="00317988"/>
    <w:rsid w:val="003204B1"/>
    <w:rsid w:val="003221B4"/>
    <w:rsid w:val="00322390"/>
    <w:rsid w:val="0032250B"/>
    <w:rsid w:val="0032258D"/>
    <w:rsid w:val="003226D5"/>
    <w:rsid w:val="00322B01"/>
    <w:rsid w:val="00322E62"/>
    <w:rsid w:val="003247F9"/>
    <w:rsid w:val="00324A7E"/>
    <w:rsid w:val="00324D13"/>
    <w:rsid w:val="00324EDD"/>
    <w:rsid w:val="00324EF4"/>
    <w:rsid w:val="0032536D"/>
    <w:rsid w:val="00327D71"/>
    <w:rsid w:val="00330971"/>
    <w:rsid w:val="00330D1A"/>
    <w:rsid w:val="003311B3"/>
    <w:rsid w:val="003331E4"/>
    <w:rsid w:val="00333FDB"/>
    <w:rsid w:val="00334848"/>
    <w:rsid w:val="00334947"/>
    <w:rsid w:val="00335C5E"/>
    <w:rsid w:val="00336553"/>
    <w:rsid w:val="00336C64"/>
    <w:rsid w:val="00337162"/>
    <w:rsid w:val="0034039C"/>
    <w:rsid w:val="0034194F"/>
    <w:rsid w:val="00344605"/>
    <w:rsid w:val="003447BA"/>
    <w:rsid w:val="003474AA"/>
    <w:rsid w:val="00350D1D"/>
    <w:rsid w:val="0035172E"/>
    <w:rsid w:val="00352C83"/>
    <w:rsid w:val="00352F1A"/>
    <w:rsid w:val="0036107C"/>
    <w:rsid w:val="003615D2"/>
    <w:rsid w:val="00363874"/>
    <w:rsid w:val="003638D6"/>
    <w:rsid w:val="0036429C"/>
    <w:rsid w:val="0036453B"/>
    <w:rsid w:val="00364772"/>
    <w:rsid w:val="00364A53"/>
    <w:rsid w:val="00365349"/>
    <w:rsid w:val="003654CB"/>
    <w:rsid w:val="00365AA9"/>
    <w:rsid w:val="00365EB0"/>
    <w:rsid w:val="00365F86"/>
    <w:rsid w:val="00365F87"/>
    <w:rsid w:val="003661FC"/>
    <w:rsid w:val="00366E89"/>
    <w:rsid w:val="003705F4"/>
    <w:rsid w:val="00370D58"/>
    <w:rsid w:val="00371316"/>
    <w:rsid w:val="003742A4"/>
    <w:rsid w:val="00376713"/>
    <w:rsid w:val="00377A14"/>
    <w:rsid w:val="00381815"/>
    <w:rsid w:val="003819AF"/>
    <w:rsid w:val="00382026"/>
    <w:rsid w:val="003820E9"/>
    <w:rsid w:val="00382DE7"/>
    <w:rsid w:val="00384FFC"/>
    <w:rsid w:val="0038648A"/>
    <w:rsid w:val="00386525"/>
    <w:rsid w:val="003872FC"/>
    <w:rsid w:val="00387ADC"/>
    <w:rsid w:val="00390020"/>
    <w:rsid w:val="003903D6"/>
    <w:rsid w:val="003908B0"/>
    <w:rsid w:val="00390EE6"/>
    <w:rsid w:val="0039118F"/>
    <w:rsid w:val="00392AD7"/>
    <w:rsid w:val="003938D9"/>
    <w:rsid w:val="00394376"/>
    <w:rsid w:val="003943FF"/>
    <w:rsid w:val="003974EB"/>
    <w:rsid w:val="00397CC5"/>
    <w:rsid w:val="003A11D1"/>
    <w:rsid w:val="003A1582"/>
    <w:rsid w:val="003A3AEE"/>
    <w:rsid w:val="003A3D9C"/>
    <w:rsid w:val="003A3EF1"/>
    <w:rsid w:val="003A3FB0"/>
    <w:rsid w:val="003A4077"/>
    <w:rsid w:val="003A4AA7"/>
    <w:rsid w:val="003A53CD"/>
    <w:rsid w:val="003B09AD"/>
    <w:rsid w:val="003B12CB"/>
    <w:rsid w:val="003B19CA"/>
    <w:rsid w:val="003B1F18"/>
    <w:rsid w:val="003B570E"/>
    <w:rsid w:val="003B5BF0"/>
    <w:rsid w:val="003B60BF"/>
    <w:rsid w:val="003B6BE3"/>
    <w:rsid w:val="003B7851"/>
    <w:rsid w:val="003C010C"/>
    <w:rsid w:val="003C0A6C"/>
    <w:rsid w:val="003C14F8"/>
    <w:rsid w:val="003C199D"/>
    <w:rsid w:val="003C3046"/>
    <w:rsid w:val="003C5A43"/>
    <w:rsid w:val="003C675D"/>
    <w:rsid w:val="003C767F"/>
    <w:rsid w:val="003D0519"/>
    <w:rsid w:val="003D0FF6"/>
    <w:rsid w:val="003D21BA"/>
    <w:rsid w:val="003D2495"/>
    <w:rsid w:val="003D262C"/>
    <w:rsid w:val="003D3EA3"/>
    <w:rsid w:val="003D416D"/>
    <w:rsid w:val="003D4A3F"/>
    <w:rsid w:val="003D5A6A"/>
    <w:rsid w:val="003D640C"/>
    <w:rsid w:val="003D679D"/>
    <w:rsid w:val="003D6D61"/>
    <w:rsid w:val="003D6D9D"/>
    <w:rsid w:val="003D7EA1"/>
    <w:rsid w:val="003E019F"/>
    <w:rsid w:val="003E091D"/>
    <w:rsid w:val="003E139C"/>
    <w:rsid w:val="003E1C53"/>
    <w:rsid w:val="003E2A69"/>
    <w:rsid w:val="003E2D49"/>
    <w:rsid w:val="003E2FD4"/>
    <w:rsid w:val="003E49F6"/>
    <w:rsid w:val="003E4A72"/>
    <w:rsid w:val="003E4F7E"/>
    <w:rsid w:val="003E5E08"/>
    <w:rsid w:val="003E6037"/>
    <w:rsid w:val="003E660F"/>
    <w:rsid w:val="003E7D19"/>
    <w:rsid w:val="003F05F3"/>
    <w:rsid w:val="003F0841"/>
    <w:rsid w:val="003F14D1"/>
    <w:rsid w:val="003F23D3"/>
    <w:rsid w:val="003F3F08"/>
    <w:rsid w:val="003F49F1"/>
    <w:rsid w:val="003F6272"/>
    <w:rsid w:val="003F6635"/>
    <w:rsid w:val="003F77F0"/>
    <w:rsid w:val="003F79DB"/>
    <w:rsid w:val="00400B28"/>
    <w:rsid w:val="00400E72"/>
    <w:rsid w:val="00401400"/>
    <w:rsid w:val="004028AD"/>
    <w:rsid w:val="00403329"/>
    <w:rsid w:val="00403B01"/>
    <w:rsid w:val="00404350"/>
    <w:rsid w:val="00404869"/>
    <w:rsid w:val="00405884"/>
    <w:rsid w:val="00406067"/>
    <w:rsid w:val="0040775A"/>
    <w:rsid w:val="00407D39"/>
    <w:rsid w:val="00410AEA"/>
    <w:rsid w:val="00410B1D"/>
    <w:rsid w:val="0041236F"/>
    <w:rsid w:val="00412A8B"/>
    <w:rsid w:val="00412DD1"/>
    <w:rsid w:val="00413DEB"/>
    <w:rsid w:val="0041477A"/>
    <w:rsid w:val="00415229"/>
    <w:rsid w:val="004167A3"/>
    <w:rsid w:val="00417354"/>
    <w:rsid w:val="00421CEA"/>
    <w:rsid w:val="00426904"/>
    <w:rsid w:val="00426D6D"/>
    <w:rsid w:val="00427865"/>
    <w:rsid w:val="00432DAA"/>
    <w:rsid w:val="00433E9B"/>
    <w:rsid w:val="00433EED"/>
    <w:rsid w:val="00433FED"/>
    <w:rsid w:val="00434305"/>
    <w:rsid w:val="00434DFC"/>
    <w:rsid w:val="004357B1"/>
    <w:rsid w:val="00435DF7"/>
    <w:rsid w:val="004364CB"/>
    <w:rsid w:val="0043741A"/>
    <w:rsid w:val="00437655"/>
    <w:rsid w:val="0044083F"/>
    <w:rsid w:val="00441A4C"/>
    <w:rsid w:val="00441A5F"/>
    <w:rsid w:val="00441AE7"/>
    <w:rsid w:val="00442207"/>
    <w:rsid w:val="00442A30"/>
    <w:rsid w:val="004430C9"/>
    <w:rsid w:val="0044482B"/>
    <w:rsid w:val="00444974"/>
    <w:rsid w:val="00445574"/>
    <w:rsid w:val="00445C72"/>
    <w:rsid w:val="004467FB"/>
    <w:rsid w:val="00446A92"/>
    <w:rsid w:val="004476BD"/>
    <w:rsid w:val="00451D93"/>
    <w:rsid w:val="004525E6"/>
    <w:rsid w:val="00452D6B"/>
    <w:rsid w:val="00454415"/>
    <w:rsid w:val="00454484"/>
    <w:rsid w:val="0045517B"/>
    <w:rsid w:val="004562B0"/>
    <w:rsid w:val="00457516"/>
    <w:rsid w:val="00461198"/>
    <w:rsid w:val="00462B41"/>
    <w:rsid w:val="00463699"/>
    <w:rsid w:val="00463B77"/>
    <w:rsid w:val="00463C7B"/>
    <w:rsid w:val="004644A6"/>
    <w:rsid w:val="004659BD"/>
    <w:rsid w:val="00466996"/>
    <w:rsid w:val="00470775"/>
    <w:rsid w:val="004746B1"/>
    <w:rsid w:val="0047583F"/>
    <w:rsid w:val="00475DE8"/>
    <w:rsid w:val="00475DFD"/>
    <w:rsid w:val="00480CD1"/>
    <w:rsid w:val="00480EE2"/>
    <w:rsid w:val="00480F75"/>
    <w:rsid w:val="00481C44"/>
    <w:rsid w:val="00481E93"/>
    <w:rsid w:val="00482EDA"/>
    <w:rsid w:val="00484936"/>
    <w:rsid w:val="0048581C"/>
    <w:rsid w:val="00485BF9"/>
    <w:rsid w:val="00485C89"/>
    <w:rsid w:val="004865F8"/>
    <w:rsid w:val="00486BE3"/>
    <w:rsid w:val="004905E4"/>
    <w:rsid w:val="00490A89"/>
    <w:rsid w:val="00490AB4"/>
    <w:rsid w:val="00492F02"/>
    <w:rsid w:val="00492F98"/>
    <w:rsid w:val="004939AE"/>
    <w:rsid w:val="004942DD"/>
    <w:rsid w:val="00494F74"/>
    <w:rsid w:val="00497C73"/>
    <w:rsid w:val="004A00D8"/>
    <w:rsid w:val="004A0576"/>
    <w:rsid w:val="004A12DF"/>
    <w:rsid w:val="004A1BA8"/>
    <w:rsid w:val="004A4B57"/>
    <w:rsid w:val="004A63FA"/>
    <w:rsid w:val="004A6640"/>
    <w:rsid w:val="004A6A3D"/>
    <w:rsid w:val="004B0272"/>
    <w:rsid w:val="004B0E12"/>
    <w:rsid w:val="004B1CB1"/>
    <w:rsid w:val="004B2361"/>
    <w:rsid w:val="004B2701"/>
    <w:rsid w:val="004B2E1B"/>
    <w:rsid w:val="004B3AA8"/>
    <w:rsid w:val="004B3E93"/>
    <w:rsid w:val="004B44E7"/>
    <w:rsid w:val="004B5690"/>
    <w:rsid w:val="004B58F8"/>
    <w:rsid w:val="004C1FBC"/>
    <w:rsid w:val="004C25A2"/>
    <w:rsid w:val="004C348D"/>
    <w:rsid w:val="004C3F1D"/>
    <w:rsid w:val="004C458D"/>
    <w:rsid w:val="004C47CE"/>
    <w:rsid w:val="004C4EEE"/>
    <w:rsid w:val="004C7556"/>
    <w:rsid w:val="004C7E8B"/>
    <w:rsid w:val="004C7E9D"/>
    <w:rsid w:val="004C7F67"/>
    <w:rsid w:val="004D076D"/>
    <w:rsid w:val="004D0EF1"/>
    <w:rsid w:val="004D1A0D"/>
    <w:rsid w:val="004D2253"/>
    <w:rsid w:val="004D2AB9"/>
    <w:rsid w:val="004D4406"/>
    <w:rsid w:val="004D51C4"/>
    <w:rsid w:val="004D70D7"/>
    <w:rsid w:val="004D7C42"/>
    <w:rsid w:val="004E0465"/>
    <w:rsid w:val="004E09B6"/>
    <w:rsid w:val="004E104E"/>
    <w:rsid w:val="004E127B"/>
    <w:rsid w:val="004E1C0A"/>
    <w:rsid w:val="004E210F"/>
    <w:rsid w:val="004E30C5"/>
    <w:rsid w:val="004E43F5"/>
    <w:rsid w:val="004E470D"/>
    <w:rsid w:val="004E4AA5"/>
    <w:rsid w:val="004E4AEE"/>
    <w:rsid w:val="004E59E3"/>
    <w:rsid w:val="004E5BA6"/>
    <w:rsid w:val="004E67C0"/>
    <w:rsid w:val="004F3355"/>
    <w:rsid w:val="004F391A"/>
    <w:rsid w:val="004F3AD4"/>
    <w:rsid w:val="004F3CFB"/>
    <w:rsid w:val="004F4C87"/>
    <w:rsid w:val="004F6456"/>
    <w:rsid w:val="004F696E"/>
    <w:rsid w:val="004F6C71"/>
    <w:rsid w:val="00501139"/>
    <w:rsid w:val="0050363E"/>
    <w:rsid w:val="005039BC"/>
    <w:rsid w:val="005043BB"/>
    <w:rsid w:val="00504701"/>
    <w:rsid w:val="00504A3D"/>
    <w:rsid w:val="00505767"/>
    <w:rsid w:val="005073F0"/>
    <w:rsid w:val="00507AE0"/>
    <w:rsid w:val="00510335"/>
    <w:rsid w:val="0051068F"/>
    <w:rsid w:val="0051097B"/>
    <w:rsid w:val="00510A7B"/>
    <w:rsid w:val="005117F8"/>
    <w:rsid w:val="005129BF"/>
    <w:rsid w:val="00512F6E"/>
    <w:rsid w:val="00513038"/>
    <w:rsid w:val="00514174"/>
    <w:rsid w:val="00516088"/>
    <w:rsid w:val="00516B0B"/>
    <w:rsid w:val="005173D2"/>
    <w:rsid w:val="005220EC"/>
    <w:rsid w:val="005230D4"/>
    <w:rsid w:val="00523F95"/>
    <w:rsid w:val="00524D65"/>
    <w:rsid w:val="00525B16"/>
    <w:rsid w:val="00526EE7"/>
    <w:rsid w:val="00533D04"/>
    <w:rsid w:val="00534804"/>
    <w:rsid w:val="00534A87"/>
    <w:rsid w:val="00534BDF"/>
    <w:rsid w:val="005354EA"/>
    <w:rsid w:val="0053585F"/>
    <w:rsid w:val="00535EC4"/>
    <w:rsid w:val="00535ED9"/>
    <w:rsid w:val="0053636A"/>
    <w:rsid w:val="0053692B"/>
    <w:rsid w:val="00541853"/>
    <w:rsid w:val="00541D95"/>
    <w:rsid w:val="0054258C"/>
    <w:rsid w:val="00543BDA"/>
    <w:rsid w:val="005441CC"/>
    <w:rsid w:val="00545482"/>
    <w:rsid w:val="005471F3"/>
    <w:rsid w:val="005479DA"/>
    <w:rsid w:val="00547BCC"/>
    <w:rsid w:val="0055013B"/>
    <w:rsid w:val="00551F6F"/>
    <w:rsid w:val="00552055"/>
    <w:rsid w:val="00552340"/>
    <w:rsid w:val="005528C6"/>
    <w:rsid w:val="00555044"/>
    <w:rsid w:val="00555854"/>
    <w:rsid w:val="0055753B"/>
    <w:rsid w:val="00560214"/>
    <w:rsid w:val="00561475"/>
    <w:rsid w:val="00562308"/>
    <w:rsid w:val="005634FC"/>
    <w:rsid w:val="0056487B"/>
    <w:rsid w:val="00564FB9"/>
    <w:rsid w:val="00572EBE"/>
    <w:rsid w:val="00573B69"/>
    <w:rsid w:val="00573D9E"/>
    <w:rsid w:val="00576DE7"/>
    <w:rsid w:val="005801E3"/>
    <w:rsid w:val="00581802"/>
    <w:rsid w:val="005836A8"/>
    <w:rsid w:val="0058409C"/>
    <w:rsid w:val="00584262"/>
    <w:rsid w:val="00586630"/>
    <w:rsid w:val="00586726"/>
    <w:rsid w:val="00587ADD"/>
    <w:rsid w:val="00590A78"/>
    <w:rsid w:val="005919A9"/>
    <w:rsid w:val="00593A49"/>
    <w:rsid w:val="00593C7B"/>
    <w:rsid w:val="00594106"/>
    <w:rsid w:val="00595063"/>
    <w:rsid w:val="00595126"/>
    <w:rsid w:val="00595A09"/>
    <w:rsid w:val="00596160"/>
    <w:rsid w:val="0059629B"/>
    <w:rsid w:val="005966E2"/>
    <w:rsid w:val="00597007"/>
    <w:rsid w:val="005A0966"/>
    <w:rsid w:val="005A10C5"/>
    <w:rsid w:val="005A11B7"/>
    <w:rsid w:val="005A260B"/>
    <w:rsid w:val="005A37C4"/>
    <w:rsid w:val="005A3B9C"/>
    <w:rsid w:val="005A40C6"/>
    <w:rsid w:val="005A4568"/>
    <w:rsid w:val="005A4A1B"/>
    <w:rsid w:val="005A5BD6"/>
    <w:rsid w:val="005A72BF"/>
    <w:rsid w:val="005A7830"/>
    <w:rsid w:val="005A7FCE"/>
    <w:rsid w:val="005B0F3F"/>
    <w:rsid w:val="005B191C"/>
    <w:rsid w:val="005B2890"/>
    <w:rsid w:val="005B4903"/>
    <w:rsid w:val="005B51CE"/>
    <w:rsid w:val="005B5323"/>
    <w:rsid w:val="005B5885"/>
    <w:rsid w:val="005B5CD7"/>
    <w:rsid w:val="005B6CF6"/>
    <w:rsid w:val="005B7422"/>
    <w:rsid w:val="005C29B8"/>
    <w:rsid w:val="005C580F"/>
    <w:rsid w:val="005C5F21"/>
    <w:rsid w:val="005C64AC"/>
    <w:rsid w:val="005C64DC"/>
    <w:rsid w:val="005C6D58"/>
    <w:rsid w:val="005C6DC2"/>
    <w:rsid w:val="005C7156"/>
    <w:rsid w:val="005D0C75"/>
    <w:rsid w:val="005D19D0"/>
    <w:rsid w:val="005D4171"/>
    <w:rsid w:val="005D5EB6"/>
    <w:rsid w:val="005D6A95"/>
    <w:rsid w:val="005D6AE5"/>
    <w:rsid w:val="005D6B2C"/>
    <w:rsid w:val="005D6D9C"/>
    <w:rsid w:val="005E00DF"/>
    <w:rsid w:val="005E2335"/>
    <w:rsid w:val="005E26A8"/>
    <w:rsid w:val="005E308A"/>
    <w:rsid w:val="005E34CA"/>
    <w:rsid w:val="005E354B"/>
    <w:rsid w:val="005E3C18"/>
    <w:rsid w:val="005E4250"/>
    <w:rsid w:val="005E6812"/>
    <w:rsid w:val="005E69B1"/>
    <w:rsid w:val="005E7881"/>
    <w:rsid w:val="005E78E0"/>
    <w:rsid w:val="005E7AC0"/>
    <w:rsid w:val="005F0D9C"/>
    <w:rsid w:val="005F284E"/>
    <w:rsid w:val="005F31D7"/>
    <w:rsid w:val="005F6AC9"/>
    <w:rsid w:val="005F7A5E"/>
    <w:rsid w:val="005F7BE5"/>
    <w:rsid w:val="006015CE"/>
    <w:rsid w:val="00604784"/>
    <w:rsid w:val="00606029"/>
    <w:rsid w:val="00606127"/>
    <w:rsid w:val="00606419"/>
    <w:rsid w:val="00607D29"/>
    <w:rsid w:val="00610672"/>
    <w:rsid w:val="00612454"/>
    <w:rsid w:val="00612952"/>
    <w:rsid w:val="00612C62"/>
    <w:rsid w:val="00614A68"/>
    <w:rsid w:val="00614CC1"/>
    <w:rsid w:val="006151C0"/>
    <w:rsid w:val="00615A9D"/>
    <w:rsid w:val="00617387"/>
    <w:rsid w:val="0062059C"/>
    <w:rsid w:val="006205D6"/>
    <w:rsid w:val="00623B22"/>
    <w:rsid w:val="0062522D"/>
    <w:rsid w:val="006252D8"/>
    <w:rsid w:val="006259BC"/>
    <w:rsid w:val="006259F6"/>
    <w:rsid w:val="0062636B"/>
    <w:rsid w:val="006300CE"/>
    <w:rsid w:val="006311A6"/>
    <w:rsid w:val="00631F04"/>
    <w:rsid w:val="00632182"/>
    <w:rsid w:val="00632AE0"/>
    <w:rsid w:val="00633018"/>
    <w:rsid w:val="00633C17"/>
    <w:rsid w:val="00634D9E"/>
    <w:rsid w:val="00636B7D"/>
    <w:rsid w:val="00636E3E"/>
    <w:rsid w:val="006378D7"/>
    <w:rsid w:val="006379F7"/>
    <w:rsid w:val="00637E4D"/>
    <w:rsid w:val="00640100"/>
    <w:rsid w:val="00640620"/>
    <w:rsid w:val="006406A6"/>
    <w:rsid w:val="0064145A"/>
    <w:rsid w:val="00641494"/>
    <w:rsid w:val="00641A1F"/>
    <w:rsid w:val="00642D12"/>
    <w:rsid w:val="006444DB"/>
    <w:rsid w:val="0064464C"/>
    <w:rsid w:val="00645904"/>
    <w:rsid w:val="00651ACB"/>
    <w:rsid w:val="00651C47"/>
    <w:rsid w:val="00652AB2"/>
    <w:rsid w:val="00653013"/>
    <w:rsid w:val="00653633"/>
    <w:rsid w:val="00653FED"/>
    <w:rsid w:val="00654CB3"/>
    <w:rsid w:val="00654EC0"/>
    <w:rsid w:val="0065523F"/>
    <w:rsid w:val="0065525B"/>
    <w:rsid w:val="00655D4F"/>
    <w:rsid w:val="00656D29"/>
    <w:rsid w:val="006572A6"/>
    <w:rsid w:val="00657F46"/>
    <w:rsid w:val="006631B2"/>
    <w:rsid w:val="00663CE3"/>
    <w:rsid w:val="006640E5"/>
    <w:rsid w:val="006646F1"/>
    <w:rsid w:val="00664855"/>
    <w:rsid w:val="00664929"/>
    <w:rsid w:val="00664F62"/>
    <w:rsid w:val="006653D3"/>
    <w:rsid w:val="006655E1"/>
    <w:rsid w:val="00666785"/>
    <w:rsid w:val="006668AE"/>
    <w:rsid w:val="00666E57"/>
    <w:rsid w:val="00670F88"/>
    <w:rsid w:val="0067165C"/>
    <w:rsid w:val="00672060"/>
    <w:rsid w:val="0067231D"/>
    <w:rsid w:val="00672BFD"/>
    <w:rsid w:val="00673969"/>
    <w:rsid w:val="00674A73"/>
    <w:rsid w:val="00675B08"/>
    <w:rsid w:val="00675D1D"/>
    <w:rsid w:val="00676004"/>
    <w:rsid w:val="00676351"/>
    <w:rsid w:val="006770F4"/>
    <w:rsid w:val="00677A84"/>
    <w:rsid w:val="0068026D"/>
    <w:rsid w:val="006804EA"/>
    <w:rsid w:val="00680A27"/>
    <w:rsid w:val="006816A4"/>
    <w:rsid w:val="006819B8"/>
    <w:rsid w:val="00683985"/>
    <w:rsid w:val="00683B4B"/>
    <w:rsid w:val="006840A6"/>
    <w:rsid w:val="00684960"/>
    <w:rsid w:val="006850CD"/>
    <w:rsid w:val="00685AAB"/>
    <w:rsid w:val="00690703"/>
    <w:rsid w:val="00690BF1"/>
    <w:rsid w:val="00693962"/>
    <w:rsid w:val="006956BC"/>
    <w:rsid w:val="006A07AA"/>
    <w:rsid w:val="006A223D"/>
    <w:rsid w:val="006A25E5"/>
    <w:rsid w:val="006A2B46"/>
    <w:rsid w:val="006A336D"/>
    <w:rsid w:val="006A37B9"/>
    <w:rsid w:val="006A5875"/>
    <w:rsid w:val="006B1074"/>
    <w:rsid w:val="006B16FE"/>
    <w:rsid w:val="006B2672"/>
    <w:rsid w:val="006B2771"/>
    <w:rsid w:val="006B2C09"/>
    <w:rsid w:val="006B54BF"/>
    <w:rsid w:val="006B58A2"/>
    <w:rsid w:val="006B5F44"/>
    <w:rsid w:val="006B5F90"/>
    <w:rsid w:val="006B62E4"/>
    <w:rsid w:val="006C0E80"/>
    <w:rsid w:val="006C1BBA"/>
    <w:rsid w:val="006C2079"/>
    <w:rsid w:val="006C29B5"/>
    <w:rsid w:val="006C2A42"/>
    <w:rsid w:val="006C35E5"/>
    <w:rsid w:val="006C4C7F"/>
    <w:rsid w:val="006C5A62"/>
    <w:rsid w:val="006C5D68"/>
    <w:rsid w:val="006C6976"/>
    <w:rsid w:val="006C6DD0"/>
    <w:rsid w:val="006D04EA"/>
    <w:rsid w:val="006D16C4"/>
    <w:rsid w:val="006D2EDD"/>
    <w:rsid w:val="006D3E96"/>
    <w:rsid w:val="006D4136"/>
    <w:rsid w:val="006D440D"/>
    <w:rsid w:val="006D4515"/>
    <w:rsid w:val="006D4BB1"/>
    <w:rsid w:val="006D59C9"/>
    <w:rsid w:val="006D6593"/>
    <w:rsid w:val="006D6B8B"/>
    <w:rsid w:val="006E04F4"/>
    <w:rsid w:val="006E2D55"/>
    <w:rsid w:val="006E50BE"/>
    <w:rsid w:val="006E6072"/>
    <w:rsid w:val="006F03A8"/>
    <w:rsid w:val="006F14C8"/>
    <w:rsid w:val="006F1A25"/>
    <w:rsid w:val="006F1E7D"/>
    <w:rsid w:val="006F2ACA"/>
    <w:rsid w:val="006F2ADC"/>
    <w:rsid w:val="006F2BFE"/>
    <w:rsid w:val="006F31E9"/>
    <w:rsid w:val="006F6284"/>
    <w:rsid w:val="006F62EA"/>
    <w:rsid w:val="007002C5"/>
    <w:rsid w:val="00701576"/>
    <w:rsid w:val="0070262C"/>
    <w:rsid w:val="00704387"/>
    <w:rsid w:val="00707669"/>
    <w:rsid w:val="007078DD"/>
    <w:rsid w:val="00711AA1"/>
    <w:rsid w:val="00711CBA"/>
    <w:rsid w:val="00711FB5"/>
    <w:rsid w:val="007123D7"/>
    <w:rsid w:val="00712A01"/>
    <w:rsid w:val="00714F58"/>
    <w:rsid w:val="007154CC"/>
    <w:rsid w:val="00716DF6"/>
    <w:rsid w:val="00716F9B"/>
    <w:rsid w:val="00717075"/>
    <w:rsid w:val="00721A50"/>
    <w:rsid w:val="00721DC2"/>
    <w:rsid w:val="00722FBF"/>
    <w:rsid w:val="00722FC2"/>
    <w:rsid w:val="00724E1B"/>
    <w:rsid w:val="00725949"/>
    <w:rsid w:val="00726E77"/>
    <w:rsid w:val="007279C6"/>
    <w:rsid w:val="00727FA2"/>
    <w:rsid w:val="007322D9"/>
    <w:rsid w:val="00732550"/>
    <w:rsid w:val="00732BC0"/>
    <w:rsid w:val="00734C00"/>
    <w:rsid w:val="00734ED1"/>
    <w:rsid w:val="0073527C"/>
    <w:rsid w:val="00735970"/>
    <w:rsid w:val="0073720F"/>
    <w:rsid w:val="00737796"/>
    <w:rsid w:val="0074165C"/>
    <w:rsid w:val="00742C35"/>
    <w:rsid w:val="007432CA"/>
    <w:rsid w:val="00743570"/>
    <w:rsid w:val="007439EB"/>
    <w:rsid w:val="00743CB4"/>
    <w:rsid w:val="00743F0A"/>
    <w:rsid w:val="007444E8"/>
    <w:rsid w:val="007445B8"/>
    <w:rsid w:val="0074548E"/>
    <w:rsid w:val="00745773"/>
    <w:rsid w:val="007467B6"/>
    <w:rsid w:val="00746800"/>
    <w:rsid w:val="00746C9E"/>
    <w:rsid w:val="00747044"/>
    <w:rsid w:val="00747E0D"/>
    <w:rsid w:val="007501A8"/>
    <w:rsid w:val="00750A80"/>
    <w:rsid w:val="00750D61"/>
    <w:rsid w:val="00750EE1"/>
    <w:rsid w:val="007516EA"/>
    <w:rsid w:val="00752B4D"/>
    <w:rsid w:val="00755402"/>
    <w:rsid w:val="00755544"/>
    <w:rsid w:val="00756084"/>
    <w:rsid w:val="00756B26"/>
    <w:rsid w:val="00756EDF"/>
    <w:rsid w:val="0075738C"/>
    <w:rsid w:val="007600E3"/>
    <w:rsid w:val="007601BC"/>
    <w:rsid w:val="007606ED"/>
    <w:rsid w:val="0076289C"/>
    <w:rsid w:val="0076334A"/>
    <w:rsid w:val="0076482D"/>
    <w:rsid w:val="00765C43"/>
    <w:rsid w:val="00765DE9"/>
    <w:rsid w:val="00765EFB"/>
    <w:rsid w:val="007671CA"/>
    <w:rsid w:val="00767C61"/>
    <w:rsid w:val="0077008A"/>
    <w:rsid w:val="00770C65"/>
    <w:rsid w:val="0077396D"/>
    <w:rsid w:val="00773C1F"/>
    <w:rsid w:val="00774DA4"/>
    <w:rsid w:val="00776000"/>
    <w:rsid w:val="00776599"/>
    <w:rsid w:val="0078114B"/>
    <w:rsid w:val="00781DD2"/>
    <w:rsid w:val="00783ECF"/>
    <w:rsid w:val="0078413A"/>
    <w:rsid w:val="007852C2"/>
    <w:rsid w:val="0078625D"/>
    <w:rsid w:val="00792BF4"/>
    <w:rsid w:val="00792C27"/>
    <w:rsid w:val="00794A4F"/>
    <w:rsid w:val="0079555B"/>
    <w:rsid w:val="007959E8"/>
    <w:rsid w:val="00795E9C"/>
    <w:rsid w:val="00797926"/>
    <w:rsid w:val="007A0521"/>
    <w:rsid w:val="007A12C1"/>
    <w:rsid w:val="007A2E12"/>
    <w:rsid w:val="007A3475"/>
    <w:rsid w:val="007A36EB"/>
    <w:rsid w:val="007A38E6"/>
    <w:rsid w:val="007A41C8"/>
    <w:rsid w:val="007A4CDC"/>
    <w:rsid w:val="007A54CE"/>
    <w:rsid w:val="007A5D3A"/>
    <w:rsid w:val="007A6B97"/>
    <w:rsid w:val="007A6FD9"/>
    <w:rsid w:val="007A78A6"/>
    <w:rsid w:val="007A7FFA"/>
    <w:rsid w:val="007B04EB"/>
    <w:rsid w:val="007B0D4F"/>
    <w:rsid w:val="007B3E9C"/>
    <w:rsid w:val="007B4E79"/>
    <w:rsid w:val="007B5A3D"/>
    <w:rsid w:val="007B5B95"/>
    <w:rsid w:val="007B6032"/>
    <w:rsid w:val="007B6567"/>
    <w:rsid w:val="007B68EA"/>
    <w:rsid w:val="007B6DF4"/>
    <w:rsid w:val="007B7453"/>
    <w:rsid w:val="007B74BF"/>
    <w:rsid w:val="007C25CA"/>
    <w:rsid w:val="007C2D89"/>
    <w:rsid w:val="007C4593"/>
    <w:rsid w:val="007C5309"/>
    <w:rsid w:val="007C6069"/>
    <w:rsid w:val="007C69DF"/>
    <w:rsid w:val="007C7409"/>
    <w:rsid w:val="007D06C4"/>
    <w:rsid w:val="007D1352"/>
    <w:rsid w:val="007D1CE1"/>
    <w:rsid w:val="007D2508"/>
    <w:rsid w:val="007D2757"/>
    <w:rsid w:val="007D2FDF"/>
    <w:rsid w:val="007D346A"/>
    <w:rsid w:val="007D369E"/>
    <w:rsid w:val="007D5743"/>
    <w:rsid w:val="007D6518"/>
    <w:rsid w:val="007D735C"/>
    <w:rsid w:val="007D76BD"/>
    <w:rsid w:val="007D7AFB"/>
    <w:rsid w:val="007E0BF1"/>
    <w:rsid w:val="007E2051"/>
    <w:rsid w:val="007E298E"/>
    <w:rsid w:val="007E5222"/>
    <w:rsid w:val="007F0C47"/>
    <w:rsid w:val="007F0ED8"/>
    <w:rsid w:val="007F0F63"/>
    <w:rsid w:val="007F17DD"/>
    <w:rsid w:val="007F3A00"/>
    <w:rsid w:val="007F466E"/>
    <w:rsid w:val="007F4E5F"/>
    <w:rsid w:val="007F5D26"/>
    <w:rsid w:val="007F64DD"/>
    <w:rsid w:val="007F6AA3"/>
    <w:rsid w:val="007F75CE"/>
    <w:rsid w:val="00800AD8"/>
    <w:rsid w:val="00800E0F"/>
    <w:rsid w:val="008013A4"/>
    <w:rsid w:val="00801F46"/>
    <w:rsid w:val="008027CE"/>
    <w:rsid w:val="00802F42"/>
    <w:rsid w:val="00803E43"/>
    <w:rsid w:val="00804383"/>
    <w:rsid w:val="00804BB7"/>
    <w:rsid w:val="00804D41"/>
    <w:rsid w:val="00805592"/>
    <w:rsid w:val="008061BD"/>
    <w:rsid w:val="00806B95"/>
    <w:rsid w:val="00810257"/>
    <w:rsid w:val="008104F5"/>
    <w:rsid w:val="00810CA5"/>
    <w:rsid w:val="00811072"/>
    <w:rsid w:val="00811369"/>
    <w:rsid w:val="00815419"/>
    <w:rsid w:val="008163C8"/>
    <w:rsid w:val="008164A1"/>
    <w:rsid w:val="00816E27"/>
    <w:rsid w:val="00817325"/>
    <w:rsid w:val="008209E6"/>
    <w:rsid w:val="00821D19"/>
    <w:rsid w:val="00821F4A"/>
    <w:rsid w:val="00823303"/>
    <w:rsid w:val="008233B2"/>
    <w:rsid w:val="00823A9F"/>
    <w:rsid w:val="00823C85"/>
    <w:rsid w:val="00824A6F"/>
    <w:rsid w:val="00825138"/>
    <w:rsid w:val="008255B9"/>
    <w:rsid w:val="00826765"/>
    <w:rsid w:val="008269DD"/>
    <w:rsid w:val="00830621"/>
    <w:rsid w:val="00831F90"/>
    <w:rsid w:val="0083348C"/>
    <w:rsid w:val="00834C7C"/>
    <w:rsid w:val="00834F02"/>
    <w:rsid w:val="00835CB3"/>
    <w:rsid w:val="00837399"/>
    <w:rsid w:val="008373D3"/>
    <w:rsid w:val="00840617"/>
    <w:rsid w:val="00840F84"/>
    <w:rsid w:val="00842A47"/>
    <w:rsid w:val="00843102"/>
    <w:rsid w:val="00843C13"/>
    <w:rsid w:val="00843DEF"/>
    <w:rsid w:val="00844C11"/>
    <w:rsid w:val="008454F8"/>
    <w:rsid w:val="00847C1E"/>
    <w:rsid w:val="00847EF7"/>
    <w:rsid w:val="00850ABA"/>
    <w:rsid w:val="0085173A"/>
    <w:rsid w:val="00855027"/>
    <w:rsid w:val="008603CE"/>
    <w:rsid w:val="00860F8D"/>
    <w:rsid w:val="0086182F"/>
    <w:rsid w:val="008620FC"/>
    <w:rsid w:val="008627A5"/>
    <w:rsid w:val="00862924"/>
    <w:rsid w:val="008632CE"/>
    <w:rsid w:val="00863E05"/>
    <w:rsid w:val="00863E2C"/>
    <w:rsid w:val="00864004"/>
    <w:rsid w:val="008648FF"/>
    <w:rsid w:val="00865ACA"/>
    <w:rsid w:val="00865D28"/>
    <w:rsid w:val="00865F85"/>
    <w:rsid w:val="00866832"/>
    <w:rsid w:val="00867C10"/>
    <w:rsid w:val="00867EF8"/>
    <w:rsid w:val="00870439"/>
    <w:rsid w:val="00870DA1"/>
    <w:rsid w:val="00872AFB"/>
    <w:rsid w:val="00872F1B"/>
    <w:rsid w:val="00880113"/>
    <w:rsid w:val="00880D6E"/>
    <w:rsid w:val="008813F5"/>
    <w:rsid w:val="00883F93"/>
    <w:rsid w:val="00884DB3"/>
    <w:rsid w:val="00885A9D"/>
    <w:rsid w:val="008864F6"/>
    <w:rsid w:val="0089049D"/>
    <w:rsid w:val="008928C9"/>
    <w:rsid w:val="008930CB"/>
    <w:rsid w:val="008938DC"/>
    <w:rsid w:val="00893D85"/>
    <w:rsid w:val="00893FD1"/>
    <w:rsid w:val="00894836"/>
    <w:rsid w:val="00895172"/>
    <w:rsid w:val="00895680"/>
    <w:rsid w:val="00896DFF"/>
    <w:rsid w:val="0089762C"/>
    <w:rsid w:val="00897AA6"/>
    <w:rsid w:val="008A173B"/>
    <w:rsid w:val="008A1893"/>
    <w:rsid w:val="008A1C7B"/>
    <w:rsid w:val="008A4B7E"/>
    <w:rsid w:val="008A57E6"/>
    <w:rsid w:val="008A6F81"/>
    <w:rsid w:val="008A769A"/>
    <w:rsid w:val="008B0C9C"/>
    <w:rsid w:val="008B166D"/>
    <w:rsid w:val="008B17F4"/>
    <w:rsid w:val="008B2C62"/>
    <w:rsid w:val="008B3615"/>
    <w:rsid w:val="008B3F81"/>
    <w:rsid w:val="008B3FA6"/>
    <w:rsid w:val="008B4AC4"/>
    <w:rsid w:val="008B50C8"/>
    <w:rsid w:val="008B5281"/>
    <w:rsid w:val="008B6525"/>
    <w:rsid w:val="008B7E05"/>
    <w:rsid w:val="008C0222"/>
    <w:rsid w:val="008C02A9"/>
    <w:rsid w:val="008C03CF"/>
    <w:rsid w:val="008C0427"/>
    <w:rsid w:val="008C086E"/>
    <w:rsid w:val="008C110F"/>
    <w:rsid w:val="008C1797"/>
    <w:rsid w:val="008C219C"/>
    <w:rsid w:val="008C3873"/>
    <w:rsid w:val="008C4079"/>
    <w:rsid w:val="008C444A"/>
    <w:rsid w:val="008C4556"/>
    <w:rsid w:val="008C475E"/>
    <w:rsid w:val="008C619A"/>
    <w:rsid w:val="008D0CE8"/>
    <w:rsid w:val="008D1265"/>
    <w:rsid w:val="008D1E23"/>
    <w:rsid w:val="008D2D1D"/>
    <w:rsid w:val="008D3538"/>
    <w:rsid w:val="008D3591"/>
    <w:rsid w:val="008D37AB"/>
    <w:rsid w:val="008D37EE"/>
    <w:rsid w:val="008D3EDB"/>
    <w:rsid w:val="008D453D"/>
    <w:rsid w:val="008D53AD"/>
    <w:rsid w:val="008D5620"/>
    <w:rsid w:val="008D562B"/>
    <w:rsid w:val="008D5733"/>
    <w:rsid w:val="008D622B"/>
    <w:rsid w:val="008D666C"/>
    <w:rsid w:val="008D7B54"/>
    <w:rsid w:val="008D7CF5"/>
    <w:rsid w:val="008E0C9D"/>
    <w:rsid w:val="008E1648"/>
    <w:rsid w:val="008E1B3E"/>
    <w:rsid w:val="008E2319"/>
    <w:rsid w:val="008E4A44"/>
    <w:rsid w:val="008E4BB6"/>
    <w:rsid w:val="008E5518"/>
    <w:rsid w:val="008E6A84"/>
    <w:rsid w:val="008E7472"/>
    <w:rsid w:val="008F0CDC"/>
    <w:rsid w:val="008F17A3"/>
    <w:rsid w:val="008F186A"/>
    <w:rsid w:val="008F1C80"/>
    <w:rsid w:val="008F1ED3"/>
    <w:rsid w:val="008F447D"/>
    <w:rsid w:val="008F4C29"/>
    <w:rsid w:val="008F4C7E"/>
    <w:rsid w:val="008F70BD"/>
    <w:rsid w:val="008F788F"/>
    <w:rsid w:val="008F7EA2"/>
    <w:rsid w:val="009026FD"/>
    <w:rsid w:val="00902722"/>
    <w:rsid w:val="009027BC"/>
    <w:rsid w:val="00902821"/>
    <w:rsid w:val="00902933"/>
    <w:rsid w:val="00902DA2"/>
    <w:rsid w:val="00902E6A"/>
    <w:rsid w:val="00902EB0"/>
    <w:rsid w:val="009062E6"/>
    <w:rsid w:val="00910046"/>
    <w:rsid w:val="00911BE5"/>
    <w:rsid w:val="00911D76"/>
    <w:rsid w:val="00912E44"/>
    <w:rsid w:val="00913CA9"/>
    <w:rsid w:val="009145AE"/>
    <w:rsid w:val="009146CE"/>
    <w:rsid w:val="00914CA7"/>
    <w:rsid w:val="009159A1"/>
    <w:rsid w:val="00915C3E"/>
    <w:rsid w:val="009161A8"/>
    <w:rsid w:val="0092193C"/>
    <w:rsid w:val="00921DCA"/>
    <w:rsid w:val="00922708"/>
    <w:rsid w:val="0092348E"/>
    <w:rsid w:val="009245AE"/>
    <w:rsid w:val="009245F5"/>
    <w:rsid w:val="009249EC"/>
    <w:rsid w:val="009252DB"/>
    <w:rsid w:val="009253C0"/>
    <w:rsid w:val="009273B3"/>
    <w:rsid w:val="009305B5"/>
    <w:rsid w:val="00931EB7"/>
    <w:rsid w:val="0093258B"/>
    <w:rsid w:val="009333CE"/>
    <w:rsid w:val="009378DD"/>
    <w:rsid w:val="009429D5"/>
    <w:rsid w:val="00942BF1"/>
    <w:rsid w:val="00942CC0"/>
    <w:rsid w:val="009431A6"/>
    <w:rsid w:val="0094423B"/>
    <w:rsid w:val="0094426E"/>
    <w:rsid w:val="00945180"/>
    <w:rsid w:val="00945428"/>
    <w:rsid w:val="0094607B"/>
    <w:rsid w:val="0095071F"/>
    <w:rsid w:val="0095300D"/>
    <w:rsid w:val="00953604"/>
    <w:rsid w:val="0095496B"/>
    <w:rsid w:val="00954B4F"/>
    <w:rsid w:val="00955341"/>
    <w:rsid w:val="009575C4"/>
    <w:rsid w:val="00960F1E"/>
    <w:rsid w:val="009610DC"/>
    <w:rsid w:val="00961490"/>
    <w:rsid w:val="00961524"/>
    <w:rsid w:val="0096381A"/>
    <w:rsid w:val="00964A78"/>
    <w:rsid w:val="00964B7F"/>
    <w:rsid w:val="009651DE"/>
    <w:rsid w:val="00965E04"/>
    <w:rsid w:val="00966002"/>
    <w:rsid w:val="009663C4"/>
    <w:rsid w:val="0096658B"/>
    <w:rsid w:val="00967447"/>
    <w:rsid w:val="009674AD"/>
    <w:rsid w:val="00967BC5"/>
    <w:rsid w:val="00970941"/>
    <w:rsid w:val="00970955"/>
    <w:rsid w:val="00970CDC"/>
    <w:rsid w:val="009711E0"/>
    <w:rsid w:val="00972714"/>
    <w:rsid w:val="00975727"/>
    <w:rsid w:val="009759B3"/>
    <w:rsid w:val="00976588"/>
    <w:rsid w:val="00977010"/>
    <w:rsid w:val="00977BC4"/>
    <w:rsid w:val="00977D02"/>
    <w:rsid w:val="00977FF9"/>
    <w:rsid w:val="009809BB"/>
    <w:rsid w:val="00982091"/>
    <w:rsid w:val="0098364B"/>
    <w:rsid w:val="00984F89"/>
    <w:rsid w:val="0098562A"/>
    <w:rsid w:val="00986D8A"/>
    <w:rsid w:val="00987AAD"/>
    <w:rsid w:val="00987D54"/>
    <w:rsid w:val="009908A3"/>
    <w:rsid w:val="009911AF"/>
    <w:rsid w:val="0099154C"/>
    <w:rsid w:val="00991875"/>
    <w:rsid w:val="00991F92"/>
    <w:rsid w:val="00992985"/>
    <w:rsid w:val="00993889"/>
    <w:rsid w:val="0099551B"/>
    <w:rsid w:val="00995A65"/>
    <w:rsid w:val="00996BD2"/>
    <w:rsid w:val="00996F1F"/>
    <w:rsid w:val="00997057"/>
    <w:rsid w:val="00997BF1"/>
    <w:rsid w:val="009A089C"/>
    <w:rsid w:val="009A118E"/>
    <w:rsid w:val="009A21CD"/>
    <w:rsid w:val="009A278C"/>
    <w:rsid w:val="009A2BC2"/>
    <w:rsid w:val="009A42C1"/>
    <w:rsid w:val="009A43B7"/>
    <w:rsid w:val="009A4467"/>
    <w:rsid w:val="009A5429"/>
    <w:rsid w:val="009A72AD"/>
    <w:rsid w:val="009B09E0"/>
    <w:rsid w:val="009B0BC5"/>
    <w:rsid w:val="009B1247"/>
    <w:rsid w:val="009B15DF"/>
    <w:rsid w:val="009B414C"/>
    <w:rsid w:val="009B6029"/>
    <w:rsid w:val="009B6971"/>
    <w:rsid w:val="009B73D0"/>
    <w:rsid w:val="009C0CB7"/>
    <w:rsid w:val="009C1BE8"/>
    <w:rsid w:val="009C27F1"/>
    <w:rsid w:val="009C2949"/>
    <w:rsid w:val="009C3152"/>
    <w:rsid w:val="009C3257"/>
    <w:rsid w:val="009C4CFA"/>
    <w:rsid w:val="009C5070"/>
    <w:rsid w:val="009C6F94"/>
    <w:rsid w:val="009C7F3F"/>
    <w:rsid w:val="009D0DE0"/>
    <w:rsid w:val="009D112C"/>
    <w:rsid w:val="009D1385"/>
    <w:rsid w:val="009D1769"/>
    <w:rsid w:val="009D3448"/>
    <w:rsid w:val="009D47FA"/>
    <w:rsid w:val="009D4C5B"/>
    <w:rsid w:val="009D50D2"/>
    <w:rsid w:val="009D6BCA"/>
    <w:rsid w:val="009E0F62"/>
    <w:rsid w:val="009E19CA"/>
    <w:rsid w:val="009E33D6"/>
    <w:rsid w:val="009E4A58"/>
    <w:rsid w:val="009E514F"/>
    <w:rsid w:val="009E5A2D"/>
    <w:rsid w:val="009E5AB2"/>
    <w:rsid w:val="009E6219"/>
    <w:rsid w:val="009E6696"/>
    <w:rsid w:val="009E787C"/>
    <w:rsid w:val="009F03B3"/>
    <w:rsid w:val="009F56DE"/>
    <w:rsid w:val="00A0096C"/>
    <w:rsid w:val="00A01757"/>
    <w:rsid w:val="00A028C0"/>
    <w:rsid w:val="00A02BAE"/>
    <w:rsid w:val="00A03BE4"/>
    <w:rsid w:val="00A06432"/>
    <w:rsid w:val="00A06A6B"/>
    <w:rsid w:val="00A07E47"/>
    <w:rsid w:val="00A10F43"/>
    <w:rsid w:val="00A129D0"/>
    <w:rsid w:val="00A12C33"/>
    <w:rsid w:val="00A138BA"/>
    <w:rsid w:val="00A13AA2"/>
    <w:rsid w:val="00A14B85"/>
    <w:rsid w:val="00A14C8E"/>
    <w:rsid w:val="00A153D9"/>
    <w:rsid w:val="00A15F09"/>
    <w:rsid w:val="00A169B6"/>
    <w:rsid w:val="00A16E8A"/>
    <w:rsid w:val="00A17513"/>
    <w:rsid w:val="00A205E0"/>
    <w:rsid w:val="00A21B86"/>
    <w:rsid w:val="00A22077"/>
    <w:rsid w:val="00A224C1"/>
    <w:rsid w:val="00A2271D"/>
    <w:rsid w:val="00A237D5"/>
    <w:rsid w:val="00A23899"/>
    <w:rsid w:val="00A241B1"/>
    <w:rsid w:val="00A24378"/>
    <w:rsid w:val="00A245CB"/>
    <w:rsid w:val="00A24A00"/>
    <w:rsid w:val="00A25E35"/>
    <w:rsid w:val="00A25F7C"/>
    <w:rsid w:val="00A2719A"/>
    <w:rsid w:val="00A27544"/>
    <w:rsid w:val="00A27D3F"/>
    <w:rsid w:val="00A30EFC"/>
    <w:rsid w:val="00A31984"/>
    <w:rsid w:val="00A3278B"/>
    <w:rsid w:val="00A32D73"/>
    <w:rsid w:val="00A3367B"/>
    <w:rsid w:val="00A33C2C"/>
    <w:rsid w:val="00A33C67"/>
    <w:rsid w:val="00A34500"/>
    <w:rsid w:val="00A3566D"/>
    <w:rsid w:val="00A3597D"/>
    <w:rsid w:val="00A36DD1"/>
    <w:rsid w:val="00A36FF9"/>
    <w:rsid w:val="00A4006C"/>
    <w:rsid w:val="00A40091"/>
    <w:rsid w:val="00A4030F"/>
    <w:rsid w:val="00A41C79"/>
    <w:rsid w:val="00A41CB5"/>
    <w:rsid w:val="00A42507"/>
    <w:rsid w:val="00A42CDF"/>
    <w:rsid w:val="00A443F4"/>
    <w:rsid w:val="00A4452E"/>
    <w:rsid w:val="00A4472C"/>
    <w:rsid w:val="00A44E69"/>
    <w:rsid w:val="00A4589D"/>
    <w:rsid w:val="00A4661E"/>
    <w:rsid w:val="00A5179B"/>
    <w:rsid w:val="00A531B6"/>
    <w:rsid w:val="00A53759"/>
    <w:rsid w:val="00A54B7B"/>
    <w:rsid w:val="00A55BD6"/>
    <w:rsid w:val="00A55D50"/>
    <w:rsid w:val="00A57142"/>
    <w:rsid w:val="00A611DE"/>
    <w:rsid w:val="00A62357"/>
    <w:rsid w:val="00A63BD3"/>
    <w:rsid w:val="00A6440B"/>
    <w:rsid w:val="00A648CD"/>
    <w:rsid w:val="00A6537A"/>
    <w:rsid w:val="00A65C7E"/>
    <w:rsid w:val="00A66BF1"/>
    <w:rsid w:val="00A67866"/>
    <w:rsid w:val="00A67C45"/>
    <w:rsid w:val="00A70B07"/>
    <w:rsid w:val="00A71151"/>
    <w:rsid w:val="00A723F8"/>
    <w:rsid w:val="00A76508"/>
    <w:rsid w:val="00A77CCB"/>
    <w:rsid w:val="00A803F4"/>
    <w:rsid w:val="00A82200"/>
    <w:rsid w:val="00A83667"/>
    <w:rsid w:val="00A83A9E"/>
    <w:rsid w:val="00A83D8D"/>
    <w:rsid w:val="00A8446B"/>
    <w:rsid w:val="00A8473F"/>
    <w:rsid w:val="00A84EE7"/>
    <w:rsid w:val="00A862D6"/>
    <w:rsid w:val="00A86BB7"/>
    <w:rsid w:val="00A8715E"/>
    <w:rsid w:val="00A87CEC"/>
    <w:rsid w:val="00A90D35"/>
    <w:rsid w:val="00A9295B"/>
    <w:rsid w:val="00A93B09"/>
    <w:rsid w:val="00A952D7"/>
    <w:rsid w:val="00A9536E"/>
    <w:rsid w:val="00A963F7"/>
    <w:rsid w:val="00A96AD8"/>
    <w:rsid w:val="00A9734F"/>
    <w:rsid w:val="00A97448"/>
    <w:rsid w:val="00AA0484"/>
    <w:rsid w:val="00AA052C"/>
    <w:rsid w:val="00AA0844"/>
    <w:rsid w:val="00AA0DAA"/>
    <w:rsid w:val="00AA1E45"/>
    <w:rsid w:val="00AA4286"/>
    <w:rsid w:val="00AA456B"/>
    <w:rsid w:val="00AA57F5"/>
    <w:rsid w:val="00AA61F9"/>
    <w:rsid w:val="00AA66B9"/>
    <w:rsid w:val="00AA672E"/>
    <w:rsid w:val="00AA6EC9"/>
    <w:rsid w:val="00AA7B95"/>
    <w:rsid w:val="00AB5BB9"/>
    <w:rsid w:val="00AB6309"/>
    <w:rsid w:val="00AB6C5F"/>
    <w:rsid w:val="00AB70B1"/>
    <w:rsid w:val="00AB7129"/>
    <w:rsid w:val="00AB7463"/>
    <w:rsid w:val="00AB7EEB"/>
    <w:rsid w:val="00AC0263"/>
    <w:rsid w:val="00AC05E7"/>
    <w:rsid w:val="00AC27A6"/>
    <w:rsid w:val="00AC30F7"/>
    <w:rsid w:val="00AC3A5A"/>
    <w:rsid w:val="00AC3D8C"/>
    <w:rsid w:val="00AC4D95"/>
    <w:rsid w:val="00AC5DF4"/>
    <w:rsid w:val="00AC637C"/>
    <w:rsid w:val="00AC7B95"/>
    <w:rsid w:val="00AC7BED"/>
    <w:rsid w:val="00AD0AEF"/>
    <w:rsid w:val="00AD11B7"/>
    <w:rsid w:val="00AD1A94"/>
    <w:rsid w:val="00AD1B30"/>
    <w:rsid w:val="00AD1C05"/>
    <w:rsid w:val="00AD29DA"/>
    <w:rsid w:val="00AD3D78"/>
    <w:rsid w:val="00AD3F16"/>
    <w:rsid w:val="00AD4126"/>
    <w:rsid w:val="00AD421C"/>
    <w:rsid w:val="00AD44FA"/>
    <w:rsid w:val="00AE070A"/>
    <w:rsid w:val="00AE101C"/>
    <w:rsid w:val="00AE2A69"/>
    <w:rsid w:val="00AE3011"/>
    <w:rsid w:val="00AE37E5"/>
    <w:rsid w:val="00AE54A4"/>
    <w:rsid w:val="00AE5EB4"/>
    <w:rsid w:val="00AE6179"/>
    <w:rsid w:val="00AE64E8"/>
    <w:rsid w:val="00AF0C18"/>
    <w:rsid w:val="00AF46A5"/>
    <w:rsid w:val="00AF47C5"/>
    <w:rsid w:val="00AF5398"/>
    <w:rsid w:val="00AF6478"/>
    <w:rsid w:val="00AF66B6"/>
    <w:rsid w:val="00B01090"/>
    <w:rsid w:val="00B01DB8"/>
    <w:rsid w:val="00B049AF"/>
    <w:rsid w:val="00B04BF3"/>
    <w:rsid w:val="00B07242"/>
    <w:rsid w:val="00B10534"/>
    <w:rsid w:val="00B113DB"/>
    <w:rsid w:val="00B117F8"/>
    <w:rsid w:val="00B11D8A"/>
    <w:rsid w:val="00B12981"/>
    <w:rsid w:val="00B147DD"/>
    <w:rsid w:val="00B156FD"/>
    <w:rsid w:val="00B17017"/>
    <w:rsid w:val="00B205FA"/>
    <w:rsid w:val="00B21F61"/>
    <w:rsid w:val="00B22CA2"/>
    <w:rsid w:val="00B22E12"/>
    <w:rsid w:val="00B261F1"/>
    <w:rsid w:val="00B265BC"/>
    <w:rsid w:val="00B3025F"/>
    <w:rsid w:val="00B3137C"/>
    <w:rsid w:val="00B31CEF"/>
    <w:rsid w:val="00B31FB1"/>
    <w:rsid w:val="00B32885"/>
    <w:rsid w:val="00B32CBF"/>
    <w:rsid w:val="00B33952"/>
    <w:rsid w:val="00B33C5E"/>
    <w:rsid w:val="00B3423F"/>
    <w:rsid w:val="00B342F4"/>
    <w:rsid w:val="00B34369"/>
    <w:rsid w:val="00B34DC2"/>
    <w:rsid w:val="00B36ACC"/>
    <w:rsid w:val="00B3704F"/>
    <w:rsid w:val="00B378E5"/>
    <w:rsid w:val="00B4346D"/>
    <w:rsid w:val="00B43748"/>
    <w:rsid w:val="00B440F4"/>
    <w:rsid w:val="00B44261"/>
    <w:rsid w:val="00B447A5"/>
    <w:rsid w:val="00B45792"/>
    <w:rsid w:val="00B4654C"/>
    <w:rsid w:val="00B46AE1"/>
    <w:rsid w:val="00B47293"/>
    <w:rsid w:val="00B50E50"/>
    <w:rsid w:val="00B51A34"/>
    <w:rsid w:val="00B52120"/>
    <w:rsid w:val="00B52351"/>
    <w:rsid w:val="00B52651"/>
    <w:rsid w:val="00B54ABC"/>
    <w:rsid w:val="00B5589E"/>
    <w:rsid w:val="00B56FBE"/>
    <w:rsid w:val="00B60ACF"/>
    <w:rsid w:val="00B62B58"/>
    <w:rsid w:val="00B6371F"/>
    <w:rsid w:val="00B6477D"/>
    <w:rsid w:val="00B65149"/>
    <w:rsid w:val="00B656A4"/>
    <w:rsid w:val="00B66567"/>
    <w:rsid w:val="00B66F52"/>
    <w:rsid w:val="00B66FE5"/>
    <w:rsid w:val="00B72880"/>
    <w:rsid w:val="00B757DB"/>
    <w:rsid w:val="00B758BF"/>
    <w:rsid w:val="00B76A72"/>
    <w:rsid w:val="00B76EFA"/>
    <w:rsid w:val="00B77237"/>
    <w:rsid w:val="00B77EC8"/>
    <w:rsid w:val="00B80BC0"/>
    <w:rsid w:val="00B80E44"/>
    <w:rsid w:val="00B80EB0"/>
    <w:rsid w:val="00B81F92"/>
    <w:rsid w:val="00B827A6"/>
    <w:rsid w:val="00B831CE"/>
    <w:rsid w:val="00B8542E"/>
    <w:rsid w:val="00B8617E"/>
    <w:rsid w:val="00B86677"/>
    <w:rsid w:val="00B87131"/>
    <w:rsid w:val="00B92E4A"/>
    <w:rsid w:val="00B939B1"/>
    <w:rsid w:val="00B95361"/>
    <w:rsid w:val="00B95AAA"/>
    <w:rsid w:val="00B95BA8"/>
    <w:rsid w:val="00B96D40"/>
    <w:rsid w:val="00B97071"/>
    <w:rsid w:val="00B97386"/>
    <w:rsid w:val="00BA263B"/>
    <w:rsid w:val="00BA42B2"/>
    <w:rsid w:val="00BA43A8"/>
    <w:rsid w:val="00BA4D65"/>
    <w:rsid w:val="00BA58D4"/>
    <w:rsid w:val="00BA5B9E"/>
    <w:rsid w:val="00BA7C9A"/>
    <w:rsid w:val="00BB577D"/>
    <w:rsid w:val="00BB5F8F"/>
    <w:rsid w:val="00BB657A"/>
    <w:rsid w:val="00BB7961"/>
    <w:rsid w:val="00BB7E70"/>
    <w:rsid w:val="00BC0F33"/>
    <w:rsid w:val="00BC1A4E"/>
    <w:rsid w:val="00BC52F9"/>
    <w:rsid w:val="00BC597A"/>
    <w:rsid w:val="00BC5DC7"/>
    <w:rsid w:val="00BC604C"/>
    <w:rsid w:val="00BC6B8B"/>
    <w:rsid w:val="00BC73D8"/>
    <w:rsid w:val="00BD1CAC"/>
    <w:rsid w:val="00BD1CF6"/>
    <w:rsid w:val="00BD35BF"/>
    <w:rsid w:val="00BD3922"/>
    <w:rsid w:val="00BD52AA"/>
    <w:rsid w:val="00BD52D7"/>
    <w:rsid w:val="00BD5AD2"/>
    <w:rsid w:val="00BE03A0"/>
    <w:rsid w:val="00BE0593"/>
    <w:rsid w:val="00BE1D91"/>
    <w:rsid w:val="00BE22F3"/>
    <w:rsid w:val="00BE3CB7"/>
    <w:rsid w:val="00BE5B52"/>
    <w:rsid w:val="00BE7B8D"/>
    <w:rsid w:val="00BF0993"/>
    <w:rsid w:val="00BF10A9"/>
    <w:rsid w:val="00BF1703"/>
    <w:rsid w:val="00BF2311"/>
    <w:rsid w:val="00BF231C"/>
    <w:rsid w:val="00BF2EA7"/>
    <w:rsid w:val="00BF2FA7"/>
    <w:rsid w:val="00BF3725"/>
    <w:rsid w:val="00BF44ED"/>
    <w:rsid w:val="00BF51E5"/>
    <w:rsid w:val="00BF5634"/>
    <w:rsid w:val="00BF5A5B"/>
    <w:rsid w:val="00BF74A6"/>
    <w:rsid w:val="00C002CB"/>
    <w:rsid w:val="00C013AD"/>
    <w:rsid w:val="00C02B26"/>
    <w:rsid w:val="00C04904"/>
    <w:rsid w:val="00C056B3"/>
    <w:rsid w:val="00C103E5"/>
    <w:rsid w:val="00C11F7E"/>
    <w:rsid w:val="00C12D07"/>
    <w:rsid w:val="00C13319"/>
    <w:rsid w:val="00C13EE9"/>
    <w:rsid w:val="00C15430"/>
    <w:rsid w:val="00C16506"/>
    <w:rsid w:val="00C17932"/>
    <w:rsid w:val="00C21540"/>
    <w:rsid w:val="00C21906"/>
    <w:rsid w:val="00C21A1D"/>
    <w:rsid w:val="00C21BFA"/>
    <w:rsid w:val="00C2283A"/>
    <w:rsid w:val="00C24C8D"/>
    <w:rsid w:val="00C24D56"/>
    <w:rsid w:val="00C25FE2"/>
    <w:rsid w:val="00C26B53"/>
    <w:rsid w:val="00C279B2"/>
    <w:rsid w:val="00C33E50"/>
    <w:rsid w:val="00C33E6F"/>
    <w:rsid w:val="00C34BFF"/>
    <w:rsid w:val="00C34C20"/>
    <w:rsid w:val="00C35A3E"/>
    <w:rsid w:val="00C35B44"/>
    <w:rsid w:val="00C42130"/>
    <w:rsid w:val="00C423A4"/>
    <w:rsid w:val="00C423E3"/>
    <w:rsid w:val="00C42D33"/>
    <w:rsid w:val="00C44BF5"/>
    <w:rsid w:val="00C45C8C"/>
    <w:rsid w:val="00C47625"/>
    <w:rsid w:val="00C521D6"/>
    <w:rsid w:val="00C52A6C"/>
    <w:rsid w:val="00C53A2C"/>
    <w:rsid w:val="00C55232"/>
    <w:rsid w:val="00C553A4"/>
    <w:rsid w:val="00C55A06"/>
    <w:rsid w:val="00C55D03"/>
    <w:rsid w:val="00C569F8"/>
    <w:rsid w:val="00C56D4A"/>
    <w:rsid w:val="00C601BC"/>
    <w:rsid w:val="00C616EC"/>
    <w:rsid w:val="00C61C69"/>
    <w:rsid w:val="00C62152"/>
    <w:rsid w:val="00C6329F"/>
    <w:rsid w:val="00C63340"/>
    <w:rsid w:val="00C642E1"/>
    <w:rsid w:val="00C643F9"/>
    <w:rsid w:val="00C64C3A"/>
    <w:rsid w:val="00C64E95"/>
    <w:rsid w:val="00C65F43"/>
    <w:rsid w:val="00C66982"/>
    <w:rsid w:val="00C71372"/>
    <w:rsid w:val="00C72410"/>
    <w:rsid w:val="00C7287F"/>
    <w:rsid w:val="00C80CB8"/>
    <w:rsid w:val="00C819F8"/>
    <w:rsid w:val="00C82057"/>
    <w:rsid w:val="00C8248C"/>
    <w:rsid w:val="00C83391"/>
    <w:rsid w:val="00C838A2"/>
    <w:rsid w:val="00C84307"/>
    <w:rsid w:val="00C84752"/>
    <w:rsid w:val="00C84E33"/>
    <w:rsid w:val="00C86D6F"/>
    <w:rsid w:val="00C905FC"/>
    <w:rsid w:val="00C90E75"/>
    <w:rsid w:val="00C91986"/>
    <w:rsid w:val="00C92D03"/>
    <w:rsid w:val="00C9319C"/>
    <w:rsid w:val="00C9435D"/>
    <w:rsid w:val="00C94DF2"/>
    <w:rsid w:val="00C95533"/>
    <w:rsid w:val="00C96741"/>
    <w:rsid w:val="00C96AD1"/>
    <w:rsid w:val="00C96F0E"/>
    <w:rsid w:val="00CA2D1B"/>
    <w:rsid w:val="00CA342A"/>
    <w:rsid w:val="00CA375D"/>
    <w:rsid w:val="00CA3893"/>
    <w:rsid w:val="00CA509C"/>
    <w:rsid w:val="00CA562A"/>
    <w:rsid w:val="00CA662A"/>
    <w:rsid w:val="00CA7AFD"/>
    <w:rsid w:val="00CA7C3C"/>
    <w:rsid w:val="00CB0189"/>
    <w:rsid w:val="00CB0BA2"/>
    <w:rsid w:val="00CB1628"/>
    <w:rsid w:val="00CB1A42"/>
    <w:rsid w:val="00CB1B0C"/>
    <w:rsid w:val="00CB2485"/>
    <w:rsid w:val="00CB2C0B"/>
    <w:rsid w:val="00CB2F41"/>
    <w:rsid w:val="00CB517D"/>
    <w:rsid w:val="00CB519E"/>
    <w:rsid w:val="00CB5AF3"/>
    <w:rsid w:val="00CB7640"/>
    <w:rsid w:val="00CB7BF3"/>
    <w:rsid w:val="00CB7F56"/>
    <w:rsid w:val="00CC023F"/>
    <w:rsid w:val="00CC038D"/>
    <w:rsid w:val="00CC08DB"/>
    <w:rsid w:val="00CC2587"/>
    <w:rsid w:val="00CC39FF"/>
    <w:rsid w:val="00CC3C2F"/>
    <w:rsid w:val="00CC4AC8"/>
    <w:rsid w:val="00CC4C77"/>
    <w:rsid w:val="00CC5233"/>
    <w:rsid w:val="00CC5DE6"/>
    <w:rsid w:val="00CC6E4E"/>
    <w:rsid w:val="00CC6E95"/>
    <w:rsid w:val="00CC6FE8"/>
    <w:rsid w:val="00CC7202"/>
    <w:rsid w:val="00CD117B"/>
    <w:rsid w:val="00CD2153"/>
    <w:rsid w:val="00CD2808"/>
    <w:rsid w:val="00CD28BF"/>
    <w:rsid w:val="00CD2B6C"/>
    <w:rsid w:val="00CD4092"/>
    <w:rsid w:val="00CD4A20"/>
    <w:rsid w:val="00CD50A1"/>
    <w:rsid w:val="00CD519E"/>
    <w:rsid w:val="00CE0C4F"/>
    <w:rsid w:val="00CE11F1"/>
    <w:rsid w:val="00CE14F2"/>
    <w:rsid w:val="00CE30EA"/>
    <w:rsid w:val="00CE4514"/>
    <w:rsid w:val="00CE7452"/>
    <w:rsid w:val="00CF048A"/>
    <w:rsid w:val="00CF155A"/>
    <w:rsid w:val="00CF2028"/>
    <w:rsid w:val="00CF2947"/>
    <w:rsid w:val="00CF686F"/>
    <w:rsid w:val="00CF6E60"/>
    <w:rsid w:val="00CF7928"/>
    <w:rsid w:val="00CF7BCA"/>
    <w:rsid w:val="00D0055D"/>
    <w:rsid w:val="00D008FD"/>
    <w:rsid w:val="00D014D9"/>
    <w:rsid w:val="00D019A7"/>
    <w:rsid w:val="00D029DC"/>
    <w:rsid w:val="00D0321C"/>
    <w:rsid w:val="00D03471"/>
    <w:rsid w:val="00D035EC"/>
    <w:rsid w:val="00D048E5"/>
    <w:rsid w:val="00D067C9"/>
    <w:rsid w:val="00D06AB1"/>
    <w:rsid w:val="00D06FC1"/>
    <w:rsid w:val="00D072ED"/>
    <w:rsid w:val="00D07A16"/>
    <w:rsid w:val="00D1067E"/>
    <w:rsid w:val="00D10F50"/>
    <w:rsid w:val="00D1109D"/>
    <w:rsid w:val="00D11272"/>
    <w:rsid w:val="00D126F5"/>
    <w:rsid w:val="00D14567"/>
    <w:rsid w:val="00D1489E"/>
    <w:rsid w:val="00D15D10"/>
    <w:rsid w:val="00D16E30"/>
    <w:rsid w:val="00D206EB"/>
    <w:rsid w:val="00D20737"/>
    <w:rsid w:val="00D20BDB"/>
    <w:rsid w:val="00D21E81"/>
    <w:rsid w:val="00D223DE"/>
    <w:rsid w:val="00D22B8F"/>
    <w:rsid w:val="00D22C7D"/>
    <w:rsid w:val="00D25E37"/>
    <w:rsid w:val="00D2661A"/>
    <w:rsid w:val="00D27429"/>
    <w:rsid w:val="00D27582"/>
    <w:rsid w:val="00D27EC4"/>
    <w:rsid w:val="00D3183D"/>
    <w:rsid w:val="00D32719"/>
    <w:rsid w:val="00D3316C"/>
    <w:rsid w:val="00D33333"/>
    <w:rsid w:val="00D3349A"/>
    <w:rsid w:val="00D34E9C"/>
    <w:rsid w:val="00D352A2"/>
    <w:rsid w:val="00D368CA"/>
    <w:rsid w:val="00D403A7"/>
    <w:rsid w:val="00D4162B"/>
    <w:rsid w:val="00D441D8"/>
    <w:rsid w:val="00D4514F"/>
    <w:rsid w:val="00D451E2"/>
    <w:rsid w:val="00D455FA"/>
    <w:rsid w:val="00D45E89"/>
    <w:rsid w:val="00D45E8D"/>
    <w:rsid w:val="00D466AE"/>
    <w:rsid w:val="00D4734F"/>
    <w:rsid w:val="00D51BF3"/>
    <w:rsid w:val="00D531ED"/>
    <w:rsid w:val="00D60622"/>
    <w:rsid w:val="00D658AD"/>
    <w:rsid w:val="00D66846"/>
    <w:rsid w:val="00D675FB"/>
    <w:rsid w:val="00D67A11"/>
    <w:rsid w:val="00D70233"/>
    <w:rsid w:val="00D71F25"/>
    <w:rsid w:val="00D72A9C"/>
    <w:rsid w:val="00D75B93"/>
    <w:rsid w:val="00D77031"/>
    <w:rsid w:val="00D80234"/>
    <w:rsid w:val="00D807C2"/>
    <w:rsid w:val="00D81A4E"/>
    <w:rsid w:val="00D84377"/>
    <w:rsid w:val="00D84941"/>
    <w:rsid w:val="00D84FA1"/>
    <w:rsid w:val="00D851F0"/>
    <w:rsid w:val="00D85AD4"/>
    <w:rsid w:val="00D86093"/>
    <w:rsid w:val="00D86DB7"/>
    <w:rsid w:val="00D87BF5"/>
    <w:rsid w:val="00D90466"/>
    <w:rsid w:val="00D90721"/>
    <w:rsid w:val="00D926D0"/>
    <w:rsid w:val="00D93030"/>
    <w:rsid w:val="00D93084"/>
    <w:rsid w:val="00D93B63"/>
    <w:rsid w:val="00D950E1"/>
    <w:rsid w:val="00D952A6"/>
    <w:rsid w:val="00D95891"/>
    <w:rsid w:val="00D965F3"/>
    <w:rsid w:val="00D96C18"/>
    <w:rsid w:val="00D97BD3"/>
    <w:rsid w:val="00D97F99"/>
    <w:rsid w:val="00DA1E08"/>
    <w:rsid w:val="00DA2466"/>
    <w:rsid w:val="00DA24F8"/>
    <w:rsid w:val="00DA28E8"/>
    <w:rsid w:val="00DA2D9E"/>
    <w:rsid w:val="00DA38D3"/>
    <w:rsid w:val="00DA3932"/>
    <w:rsid w:val="00DA3AFC"/>
    <w:rsid w:val="00DA64F8"/>
    <w:rsid w:val="00DA6C15"/>
    <w:rsid w:val="00DA7C07"/>
    <w:rsid w:val="00DB00F9"/>
    <w:rsid w:val="00DB0258"/>
    <w:rsid w:val="00DB0FA3"/>
    <w:rsid w:val="00DB1266"/>
    <w:rsid w:val="00DB2D84"/>
    <w:rsid w:val="00DB38EE"/>
    <w:rsid w:val="00DB498B"/>
    <w:rsid w:val="00DB66CA"/>
    <w:rsid w:val="00DB6BCA"/>
    <w:rsid w:val="00DB6F54"/>
    <w:rsid w:val="00DB73F7"/>
    <w:rsid w:val="00DC0321"/>
    <w:rsid w:val="00DC0F66"/>
    <w:rsid w:val="00DC2B8B"/>
    <w:rsid w:val="00DC3067"/>
    <w:rsid w:val="00DC370B"/>
    <w:rsid w:val="00DC55A1"/>
    <w:rsid w:val="00DC5A9B"/>
    <w:rsid w:val="00DC5B90"/>
    <w:rsid w:val="00DC5F88"/>
    <w:rsid w:val="00DC7336"/>
    <w:rsid w:val="00DD00FF"/>
    <w:rsid w:val="00DD0619"/>
    <w:rsid w:val="00DD07FB"/>
    <w:rsid w:val="00DD1734"/>
    <w:rsid w:val="00DD25C6"/>
    <w:rsid w:val="00DD35D7"/>
    <w:rsid w:val="00DD40D4"/>
    <w:rsid w:val="00DD4FE5"/>
    <w:rsid w:val="00DD54B0"/>
    <w:rsid w:val="00DD57EE"/>
    <w:rsid w:val="00DD6BCC"/>
    <w:rsid w:val="00DD7462"/>
    <w:rsid w:val="00DE0A4B"/>
    <w:rsid w:val="00DE2410"/>
    <w:rsid w:val="00DE2939"/>
    <w:rsid w:val="00DE4BD3"/>
    <w:rsid w:val="00DE6E81"/>
    <w:rsid w:val="00DE703F"/>
    <w:rsid w:val="00DE7595"/>
    <w:rsid w:val="00DE779F"/>
    <w:rsid w:val="00DF037F"/>
    <w:rsid w:val="00DF1961"/>
    <w:rsid w:val="00DF233D"/>
    <w:rsid w:val="00DF3230"/>
    <w:rsid w:val="00DF384C"/>
    <w:rsid w:val="00DF3C4A"/>
    <w:rsid w:val="00DF3D71"/>
    <w:rsid w:val="00DF40FC"/>
    <w:rsid w:val="00DF44DE"/>
    <w:rsid w:val="00DF4EBE"/>
    <w:rsid w:val="00E01138"/>
    <w:rsid w:val="00E015F2"/>
    <w:rsid w:val="00E02DFB"/>
    <w:rsid w:val="00E030F9"/>
    <w:rsid w:val="00E0311A"/>
    <w:rsid w:val="00E03138"/>
    <w:rsid w:val="00E03B4A"/>
    <w:rsid w:val="00E045CD"/>
    <w:rsid w:val="00E06404"/>
    <w:rsid w:val="00E069F8"/>
    <w:rsid w:val="00E073F8"/>
    <w:rsid w:val="00E11434"/>
    <w:rsid w:val="00E11A85"/>
    <w:rsid w:val="00E12495"/>
    <w:rsid w:val="00E13967"/>
    <w:rsid w:val="00E15CCD"/>
    <w:rsid w:val="00E16472"/>
    <w:rsid w:val="00E1751D"/>
    <w:rsid w:val="00E202EF"/>
    <w:rsid w:val="00E210B5"/>
    <w:rsid w:val="00E21362"/>
    <w:rsid w:val="00E22DC2"/>
    <w:rsid w:val="00E243E9"/>
    <w:rsid w:val="00E248B3"/>
    <w:rsid w:val="00E2552F"/>
    <w:rsid w:val="00E26EC4"/>
    <w:rsid w:val="00E311B9"/>
    <w:rsid w:val="00E3137A"/>
    <w:rsid w:val="00E3254E"/>
    <w:rsid w:val="00E32CCF"/>
    <w:rsid w:val="00E33131"/>
    <w:rsid w:val="00E34A98"/>
    <w:rsid w:val="00E35BBF"/>
    <w:rsid w:val="00E35D1E"/>
    <w:rsid w:val="00E364F9"/>
    <w:rsid w:val="00E365FA"/>
    <w:rsid w:val="00E36789"/>
    <w:rsid w:val="00E42204"/>
    <w:rsid w:val="00E44A0D"/>
    <w:rsid w:val="00E44A83"/>
    <w:rsid w:val="00E467FD"/>
    <w:rsid w:val="00E47341"/>
    <w:rsid w:val="00E502C1"/>
    <w:rsid w:val="00E502DD"/>
    <w:rsid w:val="00E50AA8"/>
    <w:rsid w:val="00E50D3A"/>
    <w:rsid w:val="00E51387"/>
    <w:rsid w:val="00E51E68"/>
    <w:rsid w:val="00E52EFD"/>
    <w:rsid w:val="00E533D9"/>
    <w:rsid w:val="00E5408A"/>
    <w:rsid w:val="00E54FCA"/>
    <w:rsid w:val="00E55BD8"/>
    <w:rsid w:val="00E56800"/>
    <w:rsid w:val="00E6089D"/>
    <w:rsid w:val="00E60C63"/>
    <w:rsid w:val="00E61402"/>
    <w:rsid w:val="00E62A54"/>
    <w:rsid w:val="00E62FF9"/>
    <w:rsid w:val="00E635D6"/>
    <w:rsid w:val="00E639BC"/>
    <w:rsid w:val="00E64492"/>
    <w:rsid w:val="00E664CC"/>
    <w:rsid w:val="00E70388"/>
    <w:rsid w:val="00E7075F"/>
    <w:rsid w:val="00E70D0F"/>
    <w:rsid w:val="00E70F92"/>
    <w:rsid w:val="00E72028"/>
    <w:rsid w:val="00E723CB"/>
    <w:rsid w:val="00E7388E"/>
    <w:rsid w:val="00E74313"/>
    <w:rsid w:val="00E74640"/>
    <w:rsid w:val="00E74815"/>
    <w:rsid w:val="00E74C54"/>
    <w:rsid w:val="00E77A03"/>
    <w:rsid w:val="00E822E8"/>
    <w:rsid w:val="00E82554"/>
    <w:rsid w:val="00E82606"/>
    <w:rsid w:val="00E831C1"/>
    <w:rsid w:val="00E83C1C"/>
    <w:rsid w:val="00E83D76"/>
    <w:rsid w:val="00E8460C"/>
    <w:rsid w:val="00E846C8"/>
    <w:rsid w:val="00E84957"/>
    <w:rsid w:val="00E84A55"/>
    <w:rsid w:val="00E84E5D"/>
    <w:rsid w:val="00E85BFF"/>
    <w:rsid w:val="00E90391"/>
    <w:rsid w:val="00E906C2"/>
    <w:rsid w:val="00E9214A"/>
    <w:rsid w:val="00E923A1"/>
    <w:rsid w:val="00E927EE"/>
    <w:rsid w:val="00E9311F"/>
    <w:rsid w:val="00E934D1"/>
    <w:rsid w:val="00E9492B"/>
    <w:rsid w:val="00E949E2"/>
    <w:rsid w:val="00E94AF0"/>
    <w:rsid w:val="00E95C58"/>
    <w:rsid w:val="00E95C64"/>
    <w:rsid w:val="00E95D13"/>
    <w:rsid w:val="00E95DD3"/>
    <w:rsid w:val="00E969D5"/>
    <w:rsid w:val="00E974C2"/>
    <w:rsid w:val="00EA0398"/>
    <w:rsid w:val="00EA0E3F"/>
    <w:rsid w:val="00EA250E"/>
    <w:rsid w:val="00EA394A"/>
    <w:rsid w:val="00EA58D1"/>
    <w:rsid w:val="00EA61BC"/>
    <w:rsid w:val="00EA681A"/>
    <w:rsid w:val="00EA735B"/>
    <w:rsid w:val="00EA73C8"/>
    <w:rsid w:val="00EB0C2A"/>
    <w:rsid w:val="00EB1E69"/>
    <w:rsid w:val="00EB1F19"/>
    <w:rsid w:val="00EB2086"/>
    <w:rsid w:val="00EB2112"/>
    <w:rsid w:val="00EB233A"/>
    <w:rsid w:val="00EB31ED"/>
    <w:rsid w:val="00EB56B5"/>
    <w:rsid w:val="00EB5EDF"/>
    <w:rsid w:val="00EB5F2B"/>
    <w:rsid w:val="00EB60FE"/>
    <w:rsid w:val="00EB65B3"/>
    <w:rsid w:val="00EB73BC"/>
    <w:rsid w:val="00EB74DB"/>
    <w:rsid w:val="00EC2D7A"/>
    <w:rsid w:val="00EC3BF7"/>
    <w:rsid w:val="00EC44BD"/>
    <w:rsid w:val="00EC452D"/>
    <w:rsid w:val="00EC5359"/>
    <w:rsid w:val="00EC562A"/>
    <w:rsid w:val="00EC6DD9"/>
    <w:rsid w:val="00EC7EAB"/>
    <w:rsid w:val="00ED067A"/>
    <w:rsid w:val="00ED1F79"/>
    <w:rsid w:val="00ED2B50"/>
    <w:rsid w:val="00ED459C"/>
    <w:rsid w:val="00ED4EB5"/>
    <w:rsid w:val="00ED4F7C"/>
    <w:rsid w:val="00ED5552"/>
    <w:rsid w:val="00ED6F49"/>
    <w:rsid w:val="00EE0350"/>
    <w:rsid w:val="00EE0719"/>
    <w:rsid w:val="00EE0E80"/>
    <w:rsid w:val="00EE24F5"/>
    <w:rsid w:val="00EE50FC"/>
    <w:rsid w:val="00EE613F"/>
    <w:rsid w:val="00EE65B1"/>
    <w:rsid w:val="00EE70F0"/>
    <w:rsid w:val="00EE7295"/>
    <w:rsid w:val="00EE7869"/>
    <w:rsid w:val="00EE79D8"/>
    <w:rsid w:val="00EF02D0"/>
    <w:rsid w:val="00EF054A"/>
    <w:rsid w:val="00EF1823"/>
    <w:rsid w:val="00EF3235"/>
    <w:rsid w:val="00EF3768"/>
    <w:rsid w:val="00EF4AA3"/>
    <w:rsid w:val="00EF68D1"/>
    <w:rsid w:val="00EF6A58"/>
    <w:rsid w:val="00EF7E72"/>
    <w:rsid w:val="00F01A96"/>
    <w:rsid w:val="00F02CBA"/>
    <w:rsid w:val="00F037F3"/>
    <w:rsid w:val="00F048BE"/>
    <w:rsid w:val="00F06262"/>
    <w:rsid w:val="00F06784"/>
    <w:rsid w:val="00F06D37"/>
    <w:rsid w:val="00F07B9D"/>
    <w:rsid w:val="00F11586"/>
    <w:rsid w:val="00F1183B"/>
    <w:rsid w:val="00F11C9F"/>
    <w:rsid w:val="00F121D9"/>
    <w:rsid w:val="00F12263"/>
    <w:rsid w:val="00F123D3"/>
    <w:rsid w:val="00F1409D"/>
    <w:rsid w:val="00F14214"/>
    <w:rsid w:val="00F15005"/>
    <w:rsid w:val="00F157A9"/>
    <w:rsid w:val="00F16F00"/>
    <w:rsid w:val="00F21EDF"/>
    <w:rsid w:val="00F23978"/>
    <w:rsid w:val="00F239A1"/>
    <w:rsid w:val="00F23CE5"/>
    <w:rsid w:val="00F23F55"/>
    <w:rsid w:val="00F24919"/>
    <w:rsid w:val="00F25BB6"/>
    <w:rsid w:val="00F26B7E"/>
    <w:rsid w:val="00F27A3B"/>
    <w:rsid w:val="00F30B58"/>
    <w:rsid w:val="00F31239"/>
    <w:rsid w:val="00F31F1E"/>
    <w:rsid w:val="00F32780"/>
    <w:rsid w:val="00F33817"/>
    <w:rsid w:val="00F420D5"/>
    <w:rsid w:val="00F43B68"/>
    <w:rsid w:val="00F4504E"/>
    <w:rsid w:val="00F451EA"/>
    <w:rsid w:val="00F45447"/>
    <w:rsid w:val="00F456C6"/>
    <w:rsid w:val="00F4577B"/>
    <w:rsid w:val="00F45876"/>
    <w:rsid w:val="00F46496"/>
    <w:rsid w:val="00F474D0"/>
    <w:rsid w:val="00F50179"/>
    <w:rsid w:val="00F515EE"/>
    <w:rsid w:val="00F5361F"/>
    <w:rsid w:val="00F548C8"/>
    <w:rsid w:val="00F56511"/>
    <w:rsid w:val="00F56794"/>
    <w:rsid w:val="00F60601"/>
    <w:rsid w:val="00F61672"/>
    <w:rsid w:val="00F6194E"/>
    <w:rsid w:val="00F623AC"/>
    <w:rsid w:val="00F6412A"/>
    <w:rsid w:val="00F65893"/>
    <w:rsid w:val="00F65FBD"/>
    <w:rsid w:val="00F66A4A"/>
    <w:rsid w:val="00F71676"/>
    <w:rsid w:val="00F71DFF"/>
    <w:rsid w:val="00F71E22"/>
    <w:rsid w:val="00F72142"/>
    <w:rsid w:val="00F7266A"/>
    <w:rsid w:val="00F72AE7"/>
    <w:rsid w:val="00F74525"/>
    <w:rsid w:val="00F75546"/>
    <w:rsid w:val="00F77065"/>
    <w:rsid w:val="00F81BD8"/>
    <w:rsid w:val="00F833BA"/>
    <w:rsid w:val="00F84FD0"/>
    <w:rsid w:val="00F859A8"/>
    <w:rsid w:val="00F86D87"/>
    <w:rsid w:val="00F875D9"/>
    <w:rsid w:val="00F87C84"/>
    <w:rsid w:val="00F9087D"/>
    <w:rsid w:val="00F9108B"/>
    <w:rsid w:val="00F91349"/>
    <w:rsid w:val="00F9218B"/>
    <w:rsid w:val="00F93A8A"/>
    <w:rsid w:val="00F94AD2"/>
    <w:rsid w:val="00F95248"/>
    <w:rsid w:val="00F956A9"/>
    <w:rsid w:val="00F96175"/>
    <w:rsid w:val="00F963ED"/>
    <w:rsid w:val="00F966CF"/>
    <w:rsid w:val="00F96CAE"/>
    <w:rsid w:val="00F97C99"/>
    <w:rsid w:val="00FA159F"/>
    <w:rsid w:val="00FA4789"/>
    <w:rsid w:val="00FA4A48"/>
    <w:rsid w:val="00FA662D"/>
    <w:rsid w:val="00FA73B1"/>
    <w:rsid w:val="00FA759C"/>
    <w:rsid w:val="00FA762A"/>
    <w:rsid w:val="00FB0CB9"/>
    <w:rsid w:val="00FB231D"/>
    <w:rsid w:val="00FB3360"/>
    <w:rsid w:val="00FB4303"/>
    <w:rsid w:val="00FB45F1"/>
    <w:rsid w:val="00FB4A72"/>
    <w:rsid w:val="00FB54E8"/>
    <w:rsid w:val="00FB584B"/>
    <w:rsid w:val="00FB6150"/>
    <w:rsid w:val="00FB7054"/>
    <w:rsid w:val="00FB7B63"/>
    <w:rsid w:val="00FC17B7"/>
    <w:rsid w:val="00FC2CB7"/>
    <w:rsid w:val="00FC314D"/>
    <w:rsid w:val="00FC4090"/>
    <w:rsid w:val="00FC55B4"/>
    <w:rsid w:val="00FD00E6"/>
    <w:rsid w:val="00FD09A1"/>
    <w:rsid w:val="00FD163B"/>
    <w:rsid w:val="00FD2A7C"/>
    <w:rsid w:val="00FD55E4"/>
    <w:rsid w:val="00FD59EB"/>
    <w:rsid w:val="00FD7299"/>
    <w:rsid w:val="00FE075D"/>
    <w:rsid w:val="00FE0E8A"/>
    <w:rsid w:val="00FE1FBE"/>
    <w:rsid w:val="00FE3901"/>
    <w:rsid w:val="00FE39D3"/>
    <w:rsid w:val="00FE3A2A"/>
    <w:rsid w:val="00FE4BCE"/>
    <w:rsid w:val="00FE54AE"/>
    <w:rsid w:val="00FE576A"/>
    <w:rsid w:val="00FE7DE3"/>
    <w:rsid w:val="00FE7E79"/>
    <w:rsid w:val="00FF2459"/>
    <w:rsid w:val="00FF3E7D"/>
    <w:rsid w:val="00FF4CDC"/>
    <w:rsid w:val="00FF5B99"/>
    <w:rsid w:val="00FF6381"/>
    <w:rsid w:val="00FF730C"/>
    <w:rsid w:val="00FF73A5"/>
    <w:rsid w:val="00FF73F4"/>
    <w:rsid w:val="00FF7BEE"/>
    <w:rsid w:val="00FF7CE4"/>
    <w:rsid w:val="00FF7E39"/>
    <w:rsid w:val="06293122"/>
    <w:rsid w:val="0A0F4BBF"/>
    <w:rsid w:val="14830684"/>
    <w:rsid w:val="180B62BF"/>
    <w:rsid w:val="18C94793"/>
    <w:rsid w:val="1CD65373"/>
    <w:rsid w:val="368A0327"/>
    <w:rsid w:val="3B8A07A5"/>
    <w:rsid w:val="41FA16D6"/>
    <w:rsid w:val="44F76200"/>
    <w:rsid w:val="4CEB6BD1"/>
    <w:rsid w:val="4DF25DBA"/>
    <w:rsid w:val="553D07A0"/>
    <w:rsid w:val="5A0E58C7"/>
    <w:rsid w:val="5A4E0D41"/>
    <w:rsid w:val="5CDF354A"/>
    <w:rsid w:val="632C3261"/>
    <w:rsid w:val="726A345E"/>
    <w:rsid w:val="78B5353D"/>
    <w:rsid w:val="7C59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3"/>
    <w:next w:val="1"/>
    <w:link w:val="41"/>
    <w:qFormat/>
    <w:uiPriority w:val="0"/>
    <w:pPr>
      <w:spacing w:before="240" w:after="240"/>
      <w:ind w:left="0"/>
    </w:pPr>
  </w:style>
  <w:style w:type="paragraph" w:styleId="5">
    <w:name w:val="heading 2"/>
    <w:basedOn w:val="6"/>
    <w:next w:val="1"/>
    <w:link w:val="42"/>
    <w:qFormat/>
    <w:uiPriority w:val="0"/>
    <w:pPr>
      <w:spacing w:before="120" w:after="120"/>
      <w:outlineLvl w:val="1"/>
    </w:pPr>
  </w:style>
  <w:style w:type="paragraph" w:styleId="7">
    <w:name w:val="heading 3"/>
    <w:basedOn w:val="1"/>
    <w:next w:val="1"/>
    <w:link w:val="43"/>
    <w:qFormat/>
    <w:uiPriority w:val="0"/>
    <w:pPr>
      <w:keepNext/>
      <w:keepLines/>
      <w:spacing w:before="260" w:after="260" w:line="416" w:lineRule="auto"/>
      <w:outlineLvl w:val="2"/>
    </w:pPr>
    <w:rPr>
      <w:b/>
      <w:bCs/>
      <w:sz w:val="32"/>
      <w:szCs w:val="32"/>
    </w:rPr>
  </w:style>
  <w:style w:type="paragraph" w:styleId="8">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10">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11">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12">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3">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3">
    <w:name w:val="标准文件_章标题"/>
    <w:next w:val="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
    <w:name w:val="标准文件_二级条标题"/>
    <w:next w:val="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styleId="14">
    <w:name w:val="toc 7"/>
    <w:basedOn w:val="1"/>
    <w:next w:val="1"/>
    <w:autoRedefine/>
    <w:unhideWhenUsed/>
    <w:qFormat/>
    <w:uiPriority w:val="39"/>
    <w:pPr>
      <w:tabs>
        <w:tab w:val="right" w:leader="dot" w:pos="9344"/>
      </w:tabs>
      <w:spacing w:line="300" w:lineRule="exact"/>
      <w:ind w:left="1259"/>
    </w:pPr>
    <w:rPr>
      <w:rFonts w:ascii="宋体"/>
    </w:rPr>
  </w:style>
  <w:style w:type="paragraph" w:styleId="15">
    <w:name w:val="Normal Indent"/>
    <w:basedOn w:val="1"/>
    <w:qFormat/>
    <w:uiPriority w:val="0"/>
    <w:pPr>
      <w:ind w:firstLine="420"/>
    </w:pPr>
  </w:style>
  <w:style w:type="paragraph" w:styleId="16">
    <w:name w:val="annotation text"/>
    <w:basedOn w:val="1"/>
    <w:link w:val="242"/>
    <w:unhideWhenUsed/>
    <w:qFormat/>
    <w:uiPriority w:val="99"/>
    <w:pPr>
      <w:jc w:val="left"/>
    </w:pPr>
  </w:style>
  <w:style w:type="paragraph" w:styleId="17">
    <w:name w:val="Body Text"/>
    <w:basedOn w:val="1"/>
    <w:link w:val="91"/>
    <w:qFormat/>
    <w:uiPriority w:val="0"/>
    <w:pPr>
      <w:spacing w:after="120"/>
    </w:p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Balloon Text"/>
    <w:basedOn w:val="1"/>
    <w:link w:val="52"/>
    <w:semiHidden/>
    <w:unhideWhenUsed/>
    <w:qFormat/>
    <w:uiPriority w:val="99"/>
    <w:rPr>
      <w:sz w:val="18"/>
      <w:szCs w:val="18"/>
    </w:rPr>
  </w:style>
  <w:style w:type="paragraph" w:styleId="21">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50"/>
    <w:qFormat/>
    <w:uiPriority w:val="99"/>
    <w:pPr>
      <w:tabs>
        <w:tab w:val="center" w:pos="4153"/>
        <w:tab w:val="right" w:pos="8306"/>
      </w:tabs>
      <w:adjustRightInd/>
      <w:snapToGrid w:val="0"/>
      <w:jc w:val="center"/>
    </w:pPr>
    <w:rPr>
      <w:sz w:val="18"/>
      <w:szCs w:val="18"/>
    </w:rPr>
  </w:style>
  <w:style w:type="paragraph" w:styleId="23">
    <w:name w:val="toc 1"/>
    <w:basedOn w:val="1"/>
    <w:next w:val="1"/>
    <w:autoRedefine/>
    <w:unhideWhenUsed/>
    <w:qFormat/>
    <w:uiPriority w:val="39"/>
    <w:rPr>
      <w:rFonts w:ascii="宋体"/>
    </w:rPr>
  </w:style>
  <w:style w:type="paragraph" w:styleId="24">
    <w:name w:val="toc 4"/>
    <w:basedOn w:val="1"/>
    <w:next w:val="1"/>
    <w:autoRedefine/>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autoRedefine/>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autoRedefine/>
    <w:unhideWhenUsed/>
    <w:qFormat/>
    <w:uiPriority w:val="39"/>
    <w:pPr>
      <w:tabs>
        <w:tab w:val="right" w:leader="dot" w:pos="9344"/>
      </w:tabs>
      <w:spacing w:line="300" w:lineRule="exact"/>
      <w:ind w:left="210"/>
    </w:pPr>
    <w:rPr>
      <w:rFonts w:ascii="宋体"/>
    </w:rPr>
  </w:style>
  <w:style w:type="paragraph" w:styleId="29">
    <w:name w:val="Normal (Web)"/>
    <w:basedOn w:val="1"/>
    <w:semiHidden/>
    <w:unhideWhenUsed/>
    <w:qFormat/>
    <w:uiPriority w:val="99"/>
    <w:rPr>
      <w:rFonts w:ascii="Times New Roman" w:hAnsi="Times New Roman"/>
      <w:sz w:val="24"/>
      <w:szCs w:val="24"/>
    </w:rPr>
  </w:style>
  <w:style w:type="paragraph" w:styleId="30">
    <w:name w:val="Title"/>
    <w:basedOn w:val="1"/>
    <w:link w:val="55"/>
    <w:qFormat/>
    <w:uiPriority w:val="0"/>
    <w:pPr>
      <w:spacing w:before="240" w:after="60"/>
      <w:jc w:val="center"/>
      <w:outlineLvl w:val="0"/>
    </w:pPr>
    <w:rPr>
      <w:rFonts w:ascii="Arial" w:hAnsi="Arial" w:cs="Arial"/>
      <w:b/>
      <w:bCs/>
      <w:sz w:val="32"/>
      <w:szCs w:val="32"/>
    </w:rPr>
  </w:style>
  <w:style w:type="paragraph" w:styleId="31">
    <w:name w:val="annotation subject"/>
    <w:basedOn w:val="16"/>
    <w:next w:val="16"/>
    <w:link w:val="243"/>
    <w:semiHidden/>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rPr>
      <w:rFonts w:ascii="宋体" w:hAnsi="Times New Roman" w:eastAsia="宋体"/>
      <w:sz w:val="18"/>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basedOn w:val="34"/>
    <w:semiHidden/>
    <w:unhideWhenUsed/>
    <w:qFormat/>
    <w:uiPriority w:val="99"/>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1 字符"/>
    <w:link w:val="2"/>
    <w:qFormat/>
    <w:uiPriority w:val="0"/>
    <w:rPr>
      <w:rFonts w:ascii="黑体" w:eastAsia="黑体"/>
      <w:sz w:val="21"/>
    </w:rPr>
  </w:style>
  <w:style w:type="character" w:customStyle="1" w:styleId="42">
    <w:name w:val="标题 2 字符"/>
    <w:link w:val="5"/>
    <w:qFormat/>
    <w:uiPriority w:val="0"/>
    <w:rPr>
      <w:rFonts w:ascii="黑体" w:eastAsia="黑体"/>
      <w:sz w:val="21"/>
    </w:rPr>
  </w:style>
  <w:style w:type="character" w:customStyle="1" w:styleId="43">
    <w:name w:val="标题 3 字符"/>
    <w:link w:val="7"/>
    <w:qFormat/>
    <w:uiPriority w:val="0"/>
    <w:rPr>
      <w:b/>
      <w:bCs/>
      <w:kern w:val="2"/>
      <w:sz w:val="32"/>
      <w:szCs w:val="32"/>
    </w:rPr>
  </w:style>
  <w:style w:type="character" w:customStyle="1" w:styleId="44">
    <w:name w:val="标题 4 字符"/>
    <w:link w:val="8"/>
    <w:qFormat/>
    <w:uiPriority w:val="0"/>
    <w:rPr>
      <w:rFonts w:ascii="Arial" w:hAnsi="Arial" w:eastAsia="黑体"/>
      <w:b/>
      <w:bCs/>
      <w:kern w:val="2"/>
      <w:sz w:val="28"/>
      <w:szCs w:val="28"/>
    </w:rPr>
  </w:style>
  <w:style w:type="character" w:customStyle="1" w:styleId="45">
    <w:name w:val="标题 5 字符"/>
    <w:link w:val="9"/>
    <w:qFormat/>
    <w:uiPriority w:val="0"/>
    <w:rPr>
      <w:b/>
      <w:bCs/>
      <w:kern w:val="2"/>
      <w:sz w:val="28"/>
      <w:szCs w:val="28"/>
    </w:rPr>
  </w:style>
  <w:style w:type="character" w:customStyle="1" w:styleId="46">
    <w:name w:val="标题 6 字符"/>
    <w:link w:val="10"/>
    <w:qFormat/>
    <w:uiPriority w:val="0"/>
    <w:rPr>
      <w:rFonts w:ascii="Arial" w:hAnsi="Arial" w:eastAsia="黑体"/>
      <w:b/>
      <w:bCs/>
      <w:kern w:val="2"/>
      <w:sz w:val="24"/>
      <w:szCs w:val="24"/>
    </w:rPr>
  </w:style>
  <w:style w:type="character" w:customStyle="1" w:styleId="47">
    <w:name w:val="标题 7 字符"/>
    <w:link w:val="11"/>
    <w:qFormat/>
    <w:uiPriority w:val="0"/>
    <w:rPr>
      <w:b/>
      <w:bCs/>
      <w:kern w:val="2"/>
      <w:sz w:val="24"/>
      <w:szCs w:val="24"/>
    </w:rPr>
  </w:style>
  <w:style w:type="character" w:customStyle="1" w:styleId="48">
    <w:name w:val="标题 8 字符"/>
    <w:link w:val="12"/>
    <w:qFormat/>
    <w:uiPriority w:val="0"/>
    <w:rPr>
      <w:rFonts w:ascii="Arial" w:hAnsi="Arial" w:eastAsia="黑体"/>
      <w:kern w:val="2"/>
      <w:sz w:val="24"/>
      <w:szCs w:val="24"/>
    </w:rPr>
  </w:style>
  <w:style w:type="character" w:customStyle="1" w:styleId="49">
    <w:name w:val="标题 9 字符"/>
    <w:link w:val="13"/>
    <w:qFormat/>
    <w:uiPriority w:val="0"/>
    <w:rPr>
      <w:rFonts w:ascii="Arial" w:hAnsi="Arial" w:eastAsia="黑体"/>
      <w:kern w:val="2"/>
      <w:sz w:val="21"/>
      <w:szCs w:val="21"/>
    </w:rPr>
  </w:style>
  <w:style w:type="character" w:customStyle="1" w:styleId="50">
    <w:name w:val="页眉 字符"/>
    <w:link w:val="22"/>
    <w:qFormat/>
    <w:uiPriority w:val="99"/>
    <w:rPr>
      <w:kern w:val="2"/>
      <w:sz w:val="18"/>
      <w:szCs w:val="18"/>
    </w:rPr>
  </w:style>
  <w:style w:type="character" w:customStyle="1" w:styleId="51">
    <w:name w:val="页脚 字符"/>
    <w:link w:val="21"/>
    <w:qFormat/>
    <w:uiPriority w:val="99"/>
    <w:rPr>
      <w:rFonts w:ascii="宋体"/>
      <w:kern w:val="2"/>
      <w:sz w:val="18"/>
      <w:szCs w:val="18"/>
    </w:rPr>
  </w:style>
  <w:style w:type="character" w:customStyle="1" w:styleId="52">
    <w:name w:val="批注框文本 字符"/>
    <w:link w:val="20"/>
    <w:semiHidden/>
    <w:qFormat/>
    <w:uiPriority w:val="99"/>
    <w:rPr>
      <w:kern w:val="2"/>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kern w:val="2"/>
      <w:sz w:val="21"/>
      <w:szCs w:val="21"/>
    </w:rPr>
  </w:style>
  <w:style w:type="character" w:customStyle="1" w:styleId="55">
    <w:name w:val="标题 字符"/>
    <w:link w:val="30"/>
    <w:qFormat/>
    <w:uiPriority w:val="0"/>
    <w:rPr>
      <w:rFonts w:ascii="Arial" w:hAnsi="Arial" w:cs="Arial"/>
      <w:b/>
      <w:bCs/>
      <w:kern w:val="2"/>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4"/>
    <w:qFormat/>
    <w:uiPriority w:val="0"/>
    <w:pPr>
      <w:snapToGrid w:val="0"/>
      <w:ind w:firstLine="200" w:firstLineChars="200"/>
    </w:pPr>
    <w:rPr>
      <w:kern w:val="0"/>
    </w:rPr>
  </w:style>
  <w:style w:type="paragraph" w:customStyle="1" w:styleId="63">
    <w:name w:val="标准文件_版本"/>
    <w:basedOn w:val="62"/>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2"/>
      </w:numPr>
    </w:pPr>
    <w:rPr>
      <w:rFonts w:ascii="宋体" w:hAnsi="Times New Roman" w:eastAsia="宋体" w:cs="Times New Roman"/>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4"/>
    <w:qFormat/>
    <w:uiPriority w:val="0"/>
    <w:pPr>
      <w:numPr>
        <w:ilvl w:val="0"/>
        <w:numId w:val="3"/>
      </w:numPr>
      <w:ind w:firstLine="0" w:firstLineChars="0"/>
    </w:pPr>
  </w:style>
  <w:style w:type="paragraph" w:customStyle="1" w:styleId="73">
    <w:name w:val="标准文件_封面标准编号"/>
    <w:basedOn w:val="1"/>
    <w:next w:val="65"/>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4"/>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4"/>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4"/>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4"/>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4"/>
    <w:qFormat/>
    <w:uiPriority w:val="0"/>
    <w:pPr>
      <w:widowControl/>
      <w:numPr>
        <w:ilvl w:val="2"/>
      </w:numPr>
      <w:wordWrap w:val="0"/>
      <w:overflowPunct w:val="0"/>
      <w:autoSpaceDE w:val="0"/>
      <w:autoSpaceDN w:val="0"/>
      <w:ind w:left="0"/>
      <w:textAlignment w:val="baseline"/>
      <w:outlineLvl w:val="3"/>
    </w:pPr>
  </w:style>
  <w:style w:type="paragraph" w:customStyle="1" w:styleId="85">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4"/>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4"/>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4"/>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4"/>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7"/>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7"/>
    <w:qFormat/>
    <w:uiPriority w:val="0"/>
    <w:rPr>
      <w:kern w:val="2"/>
      <w:sz w:val="21"/>
      <w:szCs w:val="21"/>
    </w:rPr>
  </w:style>
  <w:style w:type="paragraph" w:customStyle="1" w:styleId="92">
    <w:name w:val="标准文件_附录章标题"/>
    <w:next w:val="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4"/>
    <w:next w:val="4"/>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4"/>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6"/>
    <w:next w:val="4"/>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4"/>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5"/>
    <w:semiHidden/>
    <w:qFormat/>
    <w:uiPriority w:val="0"/>
    <w:rPr>
      <w:rFonts w:ascii="宋体"/>
      <w:kern w:val="2"/>
      <w:sz w:val="18"/>
      <w:szCs w:val="18"/>
    </w:rPr>
  </w:style>
  <w:style w:type="paragraph" w:customStyle="1" w:styleId="105">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4"/>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4"/>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一级条标题"/>
    <w:basedOn w:val="3"/>
    <w:next w:val="4"/>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4"/>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4"/>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4"/>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4"/>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4"/>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4"/>
    <w:qFormat/>
    <w:uiPriority w:val="0"/>
    <w:pPr>
      <w:outlineLvl w:val="4"/>
    </w:pPr>
  </w:style>
  <w:style w:type="paragraph" w:customStyle="1" w:styleId="134">
    <w:name w:val="附录四级无标题条"/>
    <w:basedOn w:val="133"/>
    <w:next w:val="4"/>
    <w:qFormat/>
    <w:uiPriority w:val="0"/>
    <w:pPr>
      <w:outlineLvl w:val="5"/>
    </w:pPr>
  </w:style>
  <w:style w:type="paragraph" w:customStyle="1" w:styleId="135">
    <w:name w:val="附录图"/>
    <w:next w:val="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tabs>
        <w:tab w:val="left" w:pos="851"/>
        <w:tab w:val="left" w:pos="1276"/>
      </w:tabs>
      <w:ind w:left="850" w:hanging="425"/>
    </w:pPr>
    <w:rPr>
      <w:rFonts w:ascii="宋体" w:hAnsi="Times New Roman" w:eastAsia="宋体" w:cs="Times New Roman"/>
      <w:sz w:val="21"/>
      <w:lang w:val="en-US" w:eastAsia="zh-CN" w:bidi="ar-SA"/>
    </w:rPr>
  </w:style>
  <w:style w:type="paragraph" w:customStyle="1" w:styleId="137">
    <w:name w:val="附录五级无标题条"/>
    <w:basedOn w:val="134"/>
    <w:next w:val="4"/>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2"/>
    <w:next w:val="4"/>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4"/>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4"/>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8"/>
    <w:qFormat/>
    <w:uiPriority w:val="0"/>
    <w:pPr>
      <w:spacing w:before="0" w:beforeLines="0" w:after="0" w:afterLines="0"/>
      <w:outlineLvl w:val="9"/>
    </w:pPr>
    <w:rPr>
      <w:rFonts w:ascii="宋体" w:eastAsia="宋体"/>
    </w:rPr>
  </w:style>
  <w:style w:type="paragraph" w:customStyle="1" w:styleId="168">
    <w:name w:val="标准文件_三级无标题"/>
    <w:basedOn w:val="99"/>
    <w:qFormat/>
    <w:uiPriority w:val="0"/>
    <w:pPr>
      <w:spacing w:before="0" w:beforeLines="0" w:after="0" w:afterLines="0"/>
      <w:ind w:left="0"/>
      <w:outlineLvl w:val="9"/>
    </w:pPr>
    <w:rPr>
      <w:rFonts w:ascii="宋体" w:eastAsia="宋体"/>
    </w:rPr>
  </w:style>
  <w:style w:type="paragraph" w:customStyle="1" w:styleId="169">
    <w:name w:val="标准文件_二级无标题"/>
    <w:basedOn w:val="6"/>
    <w:qFormat/>
    <w:uiPriority w:val="0"/>
    <w:pPr>
      <w:spacing w:before="0" w:beforeLines="0" w:after="0" w:afterLines="0"/>
      <w:outlineLvl w:val="9"/>
    </w:pPr>
    <w:rPr>
      <w:rFonts w:ascii="宋体" w:eastAsia="宋体"/>
    </w:rPr>
  </w:style>
  <w:style w:type="paragraph" w:customStyle="1" w:styleId="170">
    <w:name w:val="标准_四级无标题"/>
    <w:basedOn w:val="103"/>
    <w:next w:val="4"/>
    <w:qFormat/>
    <w:uiPriority w:val="0"/>
    <w:rPr>
      <w:rFonts w:eastAsia="宋体"/>
    </w:rPr>
  </w:style>
  <w:style w:type="paragraph" w:customStyle="1" w:styleId="171">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4"/>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4"/>
    <w:qFormat/>
    <w:uiPriority w:val="0"/>
    <w:pPr>
      <w:numPr>
        <w:ilvl w:val="0"/>
        <w:numId w:val="24"/>
      </w:numPr>
      <w:ind w:firstLine="0" w:firstLineChars="0"/>
    </w:pPr>
    <w:rPr>
      <w:rFonts w:cs="Arial"/>
      <w:szCs w:val="28"/>
    </w:rPr>
  </w:style>
  <w:style w:type="paragraph" w:customStyle="1" w:styleId="174">
    <w:name w:val="标准文件_附录标题"/>
    <w:basedOn w:val="81"/>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4"/>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4"/>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4"/>
    <w:qFormat/>
    <w:uiPriority w:val="0"/>
    <w:pPr>
      <w:ind w:firstLine="0" w:firstLineChars="0"/>
      <w:jc w:val="center"/>
    </w:pPr>
    <w:rPr>
      <w:sz w:val="18"/>
    </w:rPr>
  </w:style>
  <w:style w:type="paragraph" w:customStyle="1" w:styleId="183">
    <w:name w:val="标准文件_注："/>
    <w:next w:val="4"/>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4"/>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4"/>
    <w:qFormat/>
    <w:uiPriority w:val="0"/>
    <w:rPr>
      <w:rFonts w:ascii="宋体" w:hAnsi="Times New Roman"/>
      <w:sz w:val="21"/>
    </w:rPr>
  </w:style>
  <w:style w:type="paragraph" w:customStyle="1" w:styleId="189">
    <w:name w:val="标准文件_表格续"/>
    <w:basedOn w:val="4"/>
    <w:next w:val="4"/>
    <w:qFormat/>
    <w:uiPriority w:val="0"/>
    <w:pPr>
      <w:jc w:val="center"/>
    </w:pPr>
    <w:rPr>
      <w:rFonts w:ascii="黑体" w:hAnsi="黑体" w:eastAsia="黑体"/>
    </w:rPr>
  </w:style>
  <w:style w:type="character" w:styleId="190">
    <w:name w:val="Placeholder Text"/>
    <w:basedOn w:val="34"/>
    <w:semiHidden/>
    <w:qFormat/>
    <w:uiPriority w:val="99"/>
    <w:rPr>
      <w:color w:val="808080"/>
    </w:rPr>
  </w:style>
  <w:style w:type="paragraph" w:customStyle="1" w:styleId="191">
    <w:name w:val="标准文件_二级项2"/>
    <w:basedOn w:val="4"/>
    <w:qFormat/>
    <w:uiPriority w:val="0"/>
    <w:pPr>
      <w:numPr>
        <w:ilvl w:val="1"/>
        <w:numId w:val="21"/>
      </w:numPr>
      <w:ind w:firstLine="0" w:firstLineChars="0"/>
    </w:pPr>
  </w:style>
  <w:style w:type="paragraph" w:customStyle="1" w:styleId="192">
    <w:name w:val="标准文件_三级项2"/>
    <w:basedOn w:val="4"/>
    <w:qFormat/>
    <w:uiPriority w:val="0"/>
    <w:pPr>
      <w:numPr>
        <w:ilvl w:val="0"/>
        <w:numId w:val="30"/>
      </w:numPr>
      <w:spacing w:line="300" w:lineRule="exact"/>
      <w:ind w:firstLineChars="0"/>
    </w:pPr>
    <w:rPr>
      <w:rFonts w:ascii="Times New Roman"/>
    </w:rPr>
  </w:style>
  <w:style w:type="paragraph" w:customStyle="1" w:styleId="193">
    <w:name w:val="标准文件_一级项2"/>
    <w:basedOn w:val="4"/>
    <w:qFormat/>
    <w:uiPriority w:val="0"/>
    <w:pPr>
      <w:numPr>
        <w:ilvl w:val="0"/>
        <w:numId w:val="31"/>
      </w:numPr>
      <w:spacing w:line="300" w:lineRule="exact"/>
      <w:ind w:firstLineChars="0"/>
    </w:pPr>
    <w:rPr>
      <w:rFonts w:ascii="Times New Roman"/>
    </w:rPr>
  </w:style>
  <w:style w:type="paragraph" w:customStyle="1" w:styleId="194">
    <w:name w:val="标准文件_提示"/>
    <w:basedOn w:val="4"/>
    <w:next w:val="4"/>
    <w:qFormat/>
    <w:uiPriority w:val="0"/>
    <w:pPr>
      <w:ind w:firstLine="420"/>
    </w:pPr>
    <w:rPr>
      <w:rFonts w:ascii="黑体" w:eastAsia="黑体"/>
    </w:rPr>
  </w:style>
  <w:style w:type="character" w:customStyle="1" w:styleId="195">
    <w:name w:val="标准文件_来源"/>
    <w:basedOn w:val="34"/>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spacing w:before="57"/>
    </w:pPr>
    <w:rPr>
      <w:sz w:val="21"/>
    </w:rPr>
  </w:style>
  <w:style w:type="paragraph" w:customStyle="1" w:styleId="201">
    <w:name w:val="标准文件_文件名称"/>
    <w:basedOn w:val="4"/>
    <w:next w:val="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4"/>
    <w:next w:val="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4"/>
    <w:next w:val="4"/>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4"/>
    <w:next w:val="4"/>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4"/>
    <w:next w:val="4"/>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4"/>
    <w:next w:val="4"/>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4"/>
    <w:next w:val="4"/>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4"/>
    <w:next w:val="4"/>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4"/>
    <w:qFormat/>
    <w:uiPriority w:val="0"/>
    <w:pPr>
      <w:ind w:left="811" w:firstLine="0" w:firstLineChars="0"/>
    </w:pPr>
    <w:rPr>
      <w:sz w:val="18"/>
    </w:rPr>
  </w:style>
  <w:style w:type="paragraph" w:customStyle="1" w:styleId="210">
    <w:name w:val="标准文件_注X后"/>
    <w:basedOn w:val="4"/>
    <w:qFormat/>
    <w:uiPriority w:val="0"/>
    <w:pPr>
      <w:ind w:left="811" w:firstLine="0" w:firstLineChars="0"/>
    </w:pPr>
    <w:rPr>
      <w:sz w:val="18"/>
    </w:rPr>
  </w:style>
  <w:style w:type="paragraph" w:customStyle="1" w:styleId="211">
    <w:name w:val="标准文件_示例后"/>
    <w:basedOn w:val="4"/>
    <w:qFormat/>
    <w:uiPriority w:val="0"/>
    <w:pPr>
      <w:ind w:left="964" w:firstLine="0" w:firstLineChars="0"/>
    </w:pPr>
    <w:rPr>
      <w:sz w:val="18"/>
    </w:rPr>
  </w:style>
  <w:style w:type="paragraph" w:customStyle="1" w:styleId="212">
    <w:name w:val="标准文件_示例X后"/>
    <w:basedOn w:val="4"/>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4"/>
    <w:next w:val="4"/>
    <w:qFormat/>
    <w:uiPriority w:val="0"/>
    <w:pPr>
      <w:tabs>
        <w:tab w:val="right" w:leader="dot" w:pos="9356"/>
      </w:tabs>
      <w:ind w:left="210" w:hanging="210" w:firstLineChars="0"/>
      <w:jc w:val="left"/>
    </w:pPr>
  </w:style>
  <w:style w:type="paragraph" w:customStyle="1" w:styleId="215">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4"/>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4"/>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4"/>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4"/>
    <w:qFormat/>
    <w:uiPriority w:val="0"/>
    <w:pPr>
      <w:spacing w:before="0" w:beforeLines="0" w:after="0" w:afterLines="0" w:line="276" w:lineRule="auto"/>
    </w:pPr>
    <w:rPr>
      <w:rFonts w:ascii="宋体" w:eastAsia="宋体"/>
    </w:rPr>
  </w:style>
  <w:style w:type="paragraph" w:customStyle="1" w:styleId="225">
    <w:name w:val="标准文件_索引标题"/>
    <w:basedOn w:val="69"/>
    <w:next w:val="4"/>
    <w:qFormat/>
    <w:uiPriority w:val="0"/>
    <w:rPr>
      <w:rFonts w:hAnsi="黑体"/>
    </w:rPr>
  </w:style>
  <w:style w:type="paragraph" w:customStyle="1" w:styleId="226">
    <w:name w:val="标准文件_脚注内容"/>
    <w:basedOn w:val="4"/>
    <w:qFormat/>
    <w:uiPriority w:val="0"/>
    <w:pPr>
      <w:ind w:left="400" w:leftChars="200" w:hanging="200" w:hangingChars="200"/>
    </w:pPr>
    <w:rPr>
      <w:sz w:val="15"/>
    </w:rPr>
  </w:style>
  <w:style w:type="paragraph" w:customStyle="1" w:styleId="227">
    <w:name w:val="标准文件_术语条一"/>
    <w:basedOn w:val="166"/>
    <w:next w:val="4"/>
    <w:qFormat/>
    <w:uiPriority w:val="0"/>
  </w:style>
  <w:style w:type="paragraph" w:customStyle="1" w:styleId="228">
    <w:name w:val="标准文件_术语条二"/>
    <w:basedOn w:val="169"/>
    <w:next w:val="4"/>
    <w:qFormat/>
    <w:uiPriority w:val="0"/>
  </w:style>
  <w:style w:type="paragraph" w:customStyle="1" w:styleId="229">
    <w:name w:val="标准文件_术语条三"/>
    <w:basedOn w:val="168"/>
    <w:next w:val="4"/>
    <w:qFormat/>
    <w:uiPriority w:val="0"/>
  </w:style>
  <w:style w:type="paragraph" w:customStyle="1" w:styleId="230">
    <w:name w:val="标准文件_术语条四"/>
    <w:basedOn w:val="171"/>
    <w:next w:val="4"/>
    <w:qFormat/>
    <w:uiPriority w:val="0"/>
  </w:style>
  <w:style w:type="paragraph" w:customStyle="1" w:styleId="231">
    <w:name w:val="标准文件_术语条五"/>
    <w:basedOn w:val="167"/>
    <w:next w:val="4"/>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4"/>
    <w:qFormat/>
    <w:uiPriority w:val="0"/>
    <w:rPr>
      <w:rFonts w:ascii="黑体" w:eastAsia="黑体"/>
      <w:spacing w:val="85"/>
      <w:w w:val="100"/>
      <w:position w:val="3"/>
      <w:sz w:val="28"/>
      <w:szCs w:val="28"/>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宋体"/>
      <w:szCs w:val="21"/>
      <w:lang w:val="en-US" w:eastAsia="zh-CN" w:bidi="ar-SA"/>
    </w:rPr>
  </w:style>
  <w:style w:type="character" w:customStyle="1" w:styleId="235">
    <w:name w:val="段 Char"/>
    <w:basedOn w:val="34"/>
    <w:link w:val="234"/>
    <w:qFormat/>
    <w:uiPriority w:val="0"/>
    <w:rPr>
      <w:rFonts w:ascii="宋体" w:hAnsi="Times New Roman" w:cs="宋体"/>
      <w:szCs w:val="21"/>
    </w:rPr>
  </w:style>
  <w:style w:type="paragraph" w:customStyle="1" w:styleId="236">
    <w:name w:val="段落"/>
    <w:qFormat/>
    <w:uiPriority w:val="0"/>
    <w:pPr>
      <w:autoSpaceDE w:val="0"/>
      <w:autoSpaceDN w:val="0"/>
      <w:ind w:firstLine="420" w:firstLineChars="200"/>
    </w:pPr>
    <w:rPr>
      <w:rFonts w:ascii="宋体" w:hAnsi="Times New Roman" w:eastAsia="宋体" w:cs="Times New Roman"/>
      <w:sz w:val="21"/>
      <w:lang w:val="en-US" w:eastAsia="zh-CN" w:bidi="ar-SA"/>
    </w:rPr>
  </w:style>
  <w:style w:type="paragraph" w:customStyle="1" w:styleId="237">
    <w:name w:val="章节条款"/>
    <w:qFormat/>
    <w:uiPriority w:val="0"/>
    <w:pPr>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238">
    <w:name w:val="一级首章标题"/>
    <w:qFormat/>
    <w:uiPriority w:val="0"/>
    <w:pPr>
      <w:wordWrap w:val="0"/>
      <w:autoSpaceDE w:val="0"/>
      <w:autoSpaceDN w:val="0"/>
      <w:snapToGrid w:val="0"/>
      <w:spacing w:after="100" w:afterLines="100"/>
      <w:jc w:val="both"/>
    </w:pPr>
    <w:rPr>
      <w:rFonts w:ascii="黑体" w:hAnsi="黑体" w:eastAsia="黑体" w:cs="Times New Roman"/>
      <w:sz w:val="21"/>
      <w:lang w:val="en-US" w:eastAsia="zh-CN" w:bidi="ar-SA"/>
    </w:rPr>
  </w:style>
  <w:style w:type="table" w:customStyle="1" w:styleId="239">
    <w:name w:val="网格型1"/>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
    <w:name w:val="TOC 标题1"/>
    <w:basedOn w:val="2"/>
    <w:next w:val="1"/>
    <w:unhideWhenUsed/>
    <w:qFormat/>
    <w:uiPriority w:val="39"/>
    <w:pPr>
      <w:spacing w:after="0" w:line="259" w:lineRule="auto"/>
      <w:jc w:val="left"/>
      <w:outlineLvl w:val="9"/>
    </w:pPr>
    <w:rPr>
      <w:rFonts w:asciiTheme="majorHAnsi" w:hAnsiTheme="majorHAnsi" w:eastAsiaTheme="majorEastAsia" w:cstheme="majorBidi"/>
      <w:b/>
      <w:bCs/>
      <w:color w:val="2F5597" w:themeColor="accent1" w:themeShade="BF"/>
      <w:sz w:val="32"/>
      <w:szCs w:val="32"/>
    </w:rPr>
  </w:style>
  <w:style w:type="paragraph" w:customStyle="1" w:styleId="241">
    <w:name w:val="修订1"/>
    <w:hidden/>
    <w:semiHidden/>
    <w:qFormat/>
    <w:uiPriority w:val="99"/>
    <w:rPr>
      <w:rFonts w:ascii="Calibri" w:hAnsi="Calibri" w:eastAsia="宋体" w:cs="Times New Roman"/>
      <w:kern w:val="2"/>
      <w:sz w:val="21"/>
      <w:szCs w:val="21"/>
      <w:lang w:val="en-US" w:eastAsia="zh-CN" w:bidi="ar-SA"/>
    </w:rPr>
  </w:style>
  <w:style w:type="character" w:customStyle="1" w:styleId="242">
    <w:name w:val="批注文字 字符"/>
    <w:basedOn w:val="34"/>
    <w:link w:val="16"/>
    <w:qFormat/>
    <w:uiPriority w:val="99"/>
    <w:rPr>
      <w:kern w:val="2"/>
      <w:sz w:val="21"/>
      <w:szCs w:val="21"/>
    </w:rPr>
  </w:style>
  <w:style w:type="character" w:customStyle="1" w:styleId="243">
    <w:name w:val="批注主题 字符"/>
    <w:basedOn w:val="242"/>
    <w:link w:val="31"/>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BCEB1845254CD09FEE4E8C34EC6DF8"/>
        <w:style w:val=""/>
        <w:category>
          <w:name w:val="常规"/>
          <w:gallery w:val="placeholder"/>
        </w:category>
        <w:types>
          <w:type w:val="bbPlcHdr"/>
        </w:types>
        <w:behaviors>
          <w:behavior w:val="content"/>
        </w:behaviors>
        <w:description w:val=""/>
        <w:guid w:val="{43C901C8-6566-45BC-96C6-8F7313F27796}"/>
      </w:docPartPr>
      <w:docPartBody>
        <w:p w14:paraId="74F079D2">
          <w:pPr>
            <w:pStyle w:val="5"/>
            <w:rPr>
              <w:rFonts w:hint="eastAsia"/>
            </w:rPr>
          </w:pPr>
          <w:r>
            <w:rPr>
              <w:rStyle w:val="4"/>
              <w:rFonts w:hint="eastAsia"/>
            </w:rPr>
            <w:t>单击或点击此处输入文字。</w:t>
          </w:r>
        </w:p>
      </w:docPartBody>
    </w:docPart>
    <w:docPart>
      <w:docPartPr>
        <w:name w:val="F7151BE4E4F44FF4A325BF7CD0C9C9DD"/>
        <w:style w:val=""/>
        <w:category>
          <w:name w:val="常规"/>
          <w:gallery w:val="placeholder"/>
        </w:category>
        <w:types>
          <w:type w:val="bbPlcHdr"/>
        </w:types>
        <w:behaviors>
          <w:behavior w:val="content"/>
        </w:behaviors>
        <w:description w:val=""/>
        <w:guid w:val="{2F571AAB-F107-492F-B181-A4062F4F3717}"/>
      </w:docPartPr>
      <w:docPartBody>
        <w:p w14:paraId="023467ED">
          <w:pPr>
            <w:pStyle w:val="6"/>
            <w:rPr>
              <w:rFonts w:hint="eastAsia"/>
            </w:rPr>
          </w:pPr>
          <w:r>
            <w:rPr>
              <w:rStyle w:val="4"/>
              <w:rFonts w:hint="eastAsia"/>
            </w:rPr>
            <w:t>选择一项。</w:t>
          </w:r>
        </w:p>
      </w:docPartBody>
    </w:docPart>
    <w:docPart>
      <w:docPartPr>
        <w:name w:val="1BBB23461C044762B155F45E775876B0"/>
        <w:style w:val=""/>
        <w:category>
          <w:name w:val="常规"/>
          <w:gallery w:val="placeholder"/>
        </w:category>
        <w:types>
          <w:type w:val="bbPlcHdr"/>
        </w:types>
        <w:behaviors>
          <w:behavior w:val="content"/>
        </w:behaviors>
        <w:description w:val=""/>
        <w:guid w:val="{12907F6B-3ABE-45AA-9EF3-9C6D62723281}"/>
      </w:docPartPr>
      <w:docPartBody>
        <w:p w14:paraId="46A3F4CD">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05"/>
    <w:rsid w:val="00081FD8"/>
    <w:rsid w:val="000B2DA4"/>
    <w:rsid w:val="00162C1B"/>
    <w:rsid w:val="001F3539"/>
    <w:rsid w:val="002203FA"/>
    <w:rsid w:val="002324A0"/>
    <w:rsid w:val="00270D56"/>
    <w:rsid w:val="00273454"/>
    <w:rsid w:val="002972F3"/>
    <w:rsid w:val="002B02D5"/>
    <w:rsid w:val="002B7534"/>
    <w:rsid w:val="002D22DB"/>
    <w:rsid w:val="002F78C3"/>
    <w:rsid w:val="00324A7E"/>
    <w:rsid w:val="00334848"/>
    <w:rsid w:val="003618CD"/>
    <w:rsid w:val="003970D5"/>
    <w:rsid w:val="003B0A1D"/>
    <w:rsid w:val="003E2003"/>
    <w:rsid w:val="004028AD"/>
    <w:rsid w:val="00426D6D"/>
    <w:rsid w:val="004364F0"/>
    <w:rsid w:val="004829C6"/>
    <w:rsid w:val="004B42D1"/>
    <w:rsid w:val="004D1BB7"/>
    <w:rsid w:val="00500792"/>
    <w:rsid w:val="00521B0E"/>
    <w:rsid w:val="00537650"/>
    <w:rsid w:val="0059621A"/>
    <w:rsid w:val="005A0D34"/>
    <w:rsid w:val="005A3320"/>
    <w:rsid w:val="005A4486"/>
    <w:rsid w:val="005C6DC2"/>
    <w:rsid w:val="005F7A5E"/>
    <w:rsid w:val="00606ABA"/>
    <w:rsid w:val="00640100"/>
    <w:rsid w:val="006D59C9"/>
    <w:rsid w:val="00734C00"/>
    <w:rsid w:val="00770C65"/>
    <w:rsid w:val="0077487B"/>
    <w:rsid w:val="007A0E0A"/>
    <w:rsid w:val="007A12C1"/>
    <w:rsid w:val="007A5AC7"/>
    <w:rsid w:val="007D2757"/>
    <w:rsid w:val="007E3780"/>
    <w:rsid w:val="007F3113"/>
    <w:rsid w:val="00877F77"/>
    <w:rsid w:val="0088377A"/>
    <w:rsid w:val="00894B48"/>
    <w:rsid w:val="008F4415"/>
    <w:rsid w:val="00907A29"/>
    <w:rsid w:val="00913933"/>
    <w:rsid w:val="0094247C"/>
    <w:rsid w:val="00955F0C"/>
    <w:rsid w:val="00986D8A"/>
    <w:rsid w:val="00A24A00"/>
    <w:rsid w:val="00A44F6A"/>
    <w:rsid w:val="00B6747B"/>
    <w:rsid w:val="00B97071"/>
    <w:rsid w:val="00BD1CAC"/>
    <w:rsid w:val="00BF5A5B"/>
    <w:rsid w:val="00C02B26"/>
    <w:rsid w:val="00C22A17"/>
    <w:rsid w:val="00C42D33"/>
    <w:rsid w:val="00C61431"/>
    <w:rsid w:val="00C93BC7"/>
    <w:rsid w:val="00CA3AD7"/>
    <w:rsid w:val="00CC2DF9"/>
    <w:rsid w:val="00D1109D"/>
    <w:rsid w:val="00D9174E"/>
    <w:rsid w:val="00D93B63"/>
    <w:rsid w:val="00DB2D84"/>
    <w:rsid w:val="00E83D76"/>
    <w:rsid w:val="00E91D95"/>
    <w:rsid w:val="00F40FC2"/>
    <w:rsid w:val="00F71DFF"/>
    <w:rsid w:val="00F75DB3"/>
    <w:rsid w:val="00FA3D52"/>
    <w:rsid w:val="00FE3305"/>
    <w:rsid w:val="00FF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0BCEB1845254CD09FEE4E8C34EC6DF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7151BE4E4F44FF4A325BF7CD0C9C9D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BBB23461C044762B155F45E775876B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35</Pages>
  <Words>23101</Words>
  <Characters>23569</Characters>
  <Lines>645</Lines>
  <Paragraphs>872</Paragraphs>
  <TotalTime>22</TotalTime>
  <ScaleCrop>false</ScaleCrop>
  <LinksUpToDate>false</LinksUpToDate>
  <CharactersWithSpaces>23687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2026-03-09T01:29:00Z</dcterms:created>
  <dc:creator>CCPITCSC</dc:creator>
  <dc:description>&lt;config cover="true" show_menu="true" version="1.0.0" doctype="SDKXY"&gt;_x000d_
&lt;/config&gt;</dc:description>
  <cp:lastModifiedBy>特浓盐牛奶糖</cp:lastModifiedBy>
  <cp:lastPrinted>2025-06-24T05:52:00Z</cp:lastPrinted>
  <dcterms:modified xsi:type="dcterms:W3CDTF">2026-03-09T03:16:21Z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eyJoZGlkIjoiYjNiYzVkZGFhZDdjYTU5ZmIwYjk2OThhODE2YjE0NDUiLCJ1c2VySWQiOiIxMTQ4NjA0ODU1In0=</vt:lpwstr>
  </property>
  <property fmtid="{D5CDD505-2E9C-101B-9397-08002B2CF9AE}" pid="15" name="KSOProductBuildVer">
    <vt:lpwstr>2052-12.1.0.25225</vt:lpwstr>
  </property>
  <property fmtid="{D5CDD505-2E9C-101B-9397-08002B2CF9AE}" pid="16" name="ICV">
    <vt:lpwstr>D11E72FDD58F4373BFA0786F1BB94D16_13</vt:lpwstr>
  </property>
  <property fmtid="{D5CDD505-2E9C-101B-9397-08002B2CF9AE}" pid="17" name="GrammarlyDocumentId">
    <vt:lpwstr>af729d268ced0ec0d5bc56a51b062dcb1370c98515d778dfc645f484e049f5d2</vt:lpwstr>
  </property>
</Properties>
</file>