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9AE563">
      <w:pPr>
        <w:spacing w:line="560" w:lineRule="exact"/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1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“FEC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第1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8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届北京国际服装供应链</w:t>
      </w:r>
    </w:p>
    <w:p w14:paraId="63B56F16">
      <w:pPr>
        <w:spacing w:line="560" w:lineRule="exact"/>
        <w:jc w:val="center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博览会”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介绍</w:t>
      </w:r>
    </w:p>
    <w:bookmarkEnd w:id="1"/>
    <w:p w14:paraId="036A0423">
      <w:pPr>
        <w:spacing w:line="360" w:lineRule="auto"/>
        <w:ind w:firstLine="640" w:firstLineChars="200"/>
        <w:rPr>
          <w:rFonts w:hint="default" w:ascii="黑体" w:hAnsi="黑体" w:eastAsia="黑体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黑体" w:hAnsi="黑体" w:eastAsia="黑体" w:cs="Times New Roman"/>
          <w:kern w:val="0"/>
          <w:sz w:val="32"/>
          <w:szCs w:val="32"/>
          <w:lang w:val="en-US" w:eastAsia="zh-CN" w:bidi="ar-SA"/>
        </w:rPr>
        <w:t>一、组织机构</w:t>
      </w:r>
    </w:p>
    <w:p w14:paraId="5FCD1127">
      <w:pPr>
        <w:spacing w:line="360" w:lineRule="auto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主办单位：中国国际贸易促进委员会商业行业委员会</w:t>
      </w:r>
    </w:p>
    <w:p w14:paraId="7080DDA6">
      <w:pPr>
        <w:spacing w:line="360" w:lineRule="auto"/>
        <w:ind w:firstLine="2240" w:firstLineChars="7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北京企阳国际展览</w:t>
      </w:r>
      <w:r>
        <w:rPr>
          <w:rFonts w:hint="eastAsia" w:eastAsia="仿宋_GB2312" w:cs="Times New Roman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集团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有限公司</w:t>
      </w:r>
    </w:p>
    <w:p w14:paraId="3473733C">
      <w:pPr>
        <w:spacing w:line="360" w:lineRule="auto"/>
        <w:ind w:firstLine="2240" w:firstLineChars="7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北京企星国际展览有限公司</w:t>
      </w:r>
    </w:p>
    <w:p w14:paraId="57114F85">
      <w:pPr>
        <w:spacing w:line="360" w:lineRule="auto"/>
        <w:ind w:firstLine="2240" w:firstLineChars="7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天津星际展览服务有限公司</w:t>
      </w:r>
    </w:p>
    <w:p w14:paraId="579452CD">
      <w:pPr>
        <w:spacing w:line="360" w:lineRule="auto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承办单位：北京企阳国际展览集团有限公司</w:t>
      </w:r>
    </w:p>
    <w:p w14:paraId="713161BD">
      <w:pPr>
        <w:spacing w:line="360" w:lineRule="auto"/>
        <w:ind w:firstLine="2240" w:firstLineChars="7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北京企星国际展览有限公司</w:t>
      </w:r>
    </w:p>
    <w:p w14:paraId="12DAF0DF">
      <w:pPr>
        <w:spacing w:line="360" w:lineRule="auto"/>
        <w:ind w:firstLine="2240" w:firstLineChars="7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天津星际展览服务有限公司</w:t>
      </w:r>
    </w:p>
    <w:p w14:paraId="19F7B16D">
      <w:pPr>
        <w:numPr>
          <w:ilvl w:val="0"/>
          <w:numId w:val="1"/>
        </w:numPr>
        <w:spacing w:line="360" w:lineRule="auto"/>
        <w:ind w:firstLine="640" w:firstLineChars="200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展会概况</w:t>
      </w:r>
    </w:p>
    <w:p w14:paraId="7BC86EBF">
      <w:pPr>
        <w:numPr>
          <w:ilvl w:val="0"/>
          <w:numId w:val="0"/>
        </w:numPr>
        <w:spacing w:line="360" w:lineRule="auto"/>
        <w:ind w:firstLine="640" w:firstLineChars="200"/>
        <w:rPr>
          <w:rFonts w:ascii="仿宋_GB2312" w:eastAsia="仿宋_GB2312" w:hAnsiTheme="minorEastAsia" w:cstheme="minorEastAsia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hAnsiTheme="minorEastAsia" w:cstheme="minorEastAsia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展会名称:</w:t>
      </w:r>
      <w:r>
        <w:rPr>
          <w:rFonts w:hint="eastAsia" w:ascii="仿宋_GB2312" w:eastAsia="仿宋_GB2312" w:hAnsiTheme="minorEastAsia" w:cstheme="minorEastAsia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FEC </w:t>
      </w:r>
      <w:r>
        <w:rPr>
          <w:rFonts w:hint="eastAsia" w:ascii="仿宋_GB2312" w:eastAsia="仿宋_GB2312" w:hAnsiTheme="minorEastAsia" w:cstheme="minorEastAsia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eastAsia="仿宋_GB2312" w:hAnsiTheme="minorEastAsia" w:cstheme="minorEastAsia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eastAsia="仿宋_GB2312" w:hAnsiTheme="minorEastAsia" w:cstheme="minorEastAsia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第1</w:t>
      </w:r>
      <w:r>
        <w:rPr>
          <w:rFonts w:hint="eastAsia" w:ascii="仿宋_GB2312" w:eastAsia="仿宋_GB2312" w:hAnsiTheme="minorEastAsia" w:cstheme="minorEastAsia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_GB2312" w:eastAsia="仿宋_GB2312" w:hAnsiTheme="minorEastAsia" w:cstheme="minorEastAsia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届</w:t>
      </w:r>
      <w:r>
        <w:rPr>
          <w:rFonts w:hint="eastAsia" w:ascii="仿宋_GB2312" w:eastAsia="仿宋_GB2312" w:hAnsiTheme="minorEastAsia" w:cstheme="minorEastAsia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北京</w:t>
      </w:r>
      <w:r>
        <w:rPr>
          <w:rFonts w:hint="eastAsia" w:ascii="仿宋_GB2312" w:eastAsia="仿宋_GB2312" w:hAnsiTheme="minorEastAsia" w:cstheme="minorEastAsia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国际服装供应链博览会</w:t>
      </w:r>
    </w:p>
    <w:p w14:paraId="61567FCB">
      <w:pPr>
        <w:spacing w:line="360" w:lineRule="auto"/>
        <w:ind w:firstLine="640" w:firstLineChars="200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展会时间</w:t>
      </w:r>
      <w:r>
        <w:rPr>
          <w:rFonts w:hint="eastAsia" w:ascii="仿宋_GB2312" w:eastAsia="仿宋_GB2312" w:hAnsiTheme="minorEastAsia" w:cstheme="minorEastAsia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: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日</w:t>
      </w:r>
    </w:p>
    <w:p w14:paraId="2C31018E">
      <w:pPr>
        <w:spacing w:line="360" w:lineRule="auto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展会地点</w:t>
      </w:r>
      <w:r>
        <w:rPr>
          <w:rFonts w:hint="eastAsia" w:ascii="仿宋_GB2312" w:eastAsia="仿宋_GB2312" w:hAnsiTheme="minorEastAsia" w:cstheme="minorEastAsia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: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中国国际展览中心（顺义馆）</w:t>
      </w:r>
    </w:p>
    <w:p w14:paraId="2B5B796E">
      <w:pPr>
        <w:spacing w:line="360" w:lineRule="auto"/>
        <w:ind w:firstLine="640" w:firstLineChars="200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三、展会背景</w:t>
      </w:r>
    </w:p>
    <w:p w14:paraId="3A5F627F">
      <w:pPr>
        <w:spacing w:line="360" w:lineRule="auto"/>
        <w:ind w:firstLine="640" w:firstLineChars="200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北京是国家中心城市，全国文化中心、国际交流中心、科技创新中心，具有得天独厚的地理优势。北京纺织服装产业链发展较好且较完整，目前已形成了以纺织品、服装、服装设计为支撑的都市产业格局，有着巨大的商业前景</w:t>
      </w:r>
      <w:r>
        <w:rPr>
          <w:rFonts w:hint="eastAsia" w:eastAsia="仿宋_GB2312" w:cs="Times New Roman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已成为我国北方最大的纺织品服装交易中心</w:t>
      </w:r>
      <w:r>
        <w:rPr>
          <w:rFonts w:hint="eastAsia" w:eastAsia="仿宋_GB2312" w:cs="Times New Roman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京津冀鲁辽区域有近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8万家服装生产单位。</w:t>
      </w:r>
    </w:p>
    <w:p w14:paraId="6897D1D1">
      <w:pPr>
        <w:spacing w:line="360" w:lineRule="auto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FEC北京国际服装供应链博览会创办于2006年，已成为国内外具有一定规模和影响的专业化品牌展会，是服装行业市场体系中不可或缺的重要组成部分。本届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展会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规模与影响力再次提升，展区分布更加细化，设置服装定制、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职业装团服、服装贴牌原创设计、纺织面辅料、流行纱线、品牌内衣、</w:t>
      </w:r>
      <w:r>
        <w:rPr>
          <w:rFonts w:hint="eastAsia" w:eastAsia="仿宋_GB2312" w:cs="Times New Roman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校服园服、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流行服饰配饰等八大展区。</w:t>
      </w:r>
    </w:p>
    <w:p w14:paraId="556CC650">
      <w:pPr>
        <w:spacing w:line="360" w:lineRule="auto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依托多年积累的专业买家资源数据，组委会将针对本届展会实行多角度定向推广，更大化提升参展与观展效益。还将与各相关行业协会及媒体进行深入合作，于展会开展前进行全方位多角度的宣传推广。继续为行业内国内外服装品牌、经销商、贸易公司、电商、终端商等提供商贸交流平台。</w:t>
      </w:r>
    </w:p>
    <w:p w14:paraId="716EA154">
      <w:pPr>
        <w:spacing w:line="360" w:lineRule="auto"/>
        <w:ind w:firstLine="640" w:firstLineChars="200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四、展会亮点</w:t>
      </w:r>
    </w:p>
    <w:p w14:paraId="71B6566A">
      <w:pPr>
        <w:spacing w:line="360" w:lineRule="auto"/>
        <w:ind w:firstLine="640" w:firstLineChars="200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（一）800+优质展商齐聚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中国国际展览中心顺义馆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，八大展区，展品垂直细分，覆盖服装全品类，全方位呈现服装行业的生态体系；</w:t>
      </w:r>
    </w:p>
    <w:p w14:paraId="5BA007B5">
      <w:pPr>
        <w:spacing w:line="360" w:lineRule="auto"/>
        <w:ind w:firstLine="640" w:firstLineChars="200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Hlk146824933"/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（二）同期高端交流论坛、商贸配对会、T台秀等多种形式的展示推动行业发展，锁定行业趋势；</w:t>
      </w:r>
    </w:p>
    <w:p w14:paraId="51E7DEF4">
      <w:pPr>
        <w:spacing w:line="360" w:lineRule="auto"/>
        <w:ind w:firstLine="640" w:firstLineChars="200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（三）展期同步进行多场线上直播、特邀行业专家一对一展商采访，紧跟当代社会流行趋势，线上线下齐发力；</w:t>
      </w:r>
    </w:p>
    <w:p w14:paraId="6EF22BD8">
      <w:pPr>
        <w:spacing w:line="360" w:lineRule="auto"/>
        <w:ind w:firstLine="640" w:firstLineChars="200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（四）展会现场配备互动茶歇服务区，免费赠送咖啡茶饮，为观众提供舒适观展服务。</w:t>
      </w:r>
    </w:p>
    <w:bookmarkEnd w:id="0"/>
    <w:p w14:paraId="387AD91C">
      <w:pPr>
        <w:spacing w:line="360" w:lineRule="auto"/>
        <w:ind w:firstLine="640" w:firstLineChars="200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五、展区设置</w:t>
      </w:r>
    </w:p>
    <w:p w14:paraId="4427649B">
      <w:pPr>
        <w:spacing w:line="360" w:lineRule="auto"/>
        <w:ind w:firstLine="640" w:firstLineChars="200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（一）服装定制展区：规模化定制工厂、定制品牌、潮流定制品牌、原创设计师品牌、定制配套解决方案等；</w:t>
      </w:r>
    </w:p>
    <w:p w14:paraId="5BBA920A">
      <w:pPr>
        <w:spacing w:line="360" w:lineRule="auto"/>
        <w:ind w:firstLine="640" w:firstLineChars="200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（二）职业装团服展区：行政职业装、行业制服、工装、商务休闲装等；</w:t>
      </w:r>
    </w:p>
    <w:p w14:paraId="1595A6E3">
      <w:pPr>
        <w:spacing w:line="360" w:lineRule="auto"/>
        <w:ind w:firstLine="640" w:firstLineChars="200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（三）纺织面辅料展区:各种麻、棉、丝、化纤类梭织、毛织、针织、涂层织物、植绒面料、功能织物、蕾丝刺家纺面料、钮扣、拉链、商标、反光材料、刺绣、花边、绣品、里布、衬布、垫肩、吊牌等；</w:t>
      </w:r>
    </w:p>
    <w:p w14:paraId="41852CB6">
      <w:pPr>
        <w:spacing w:line="360" w:lineRule="auto"/>
        <w:ind w:firstLine="640" w:firstLineChars="200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（四）服装贴牌/原创设计展区：全品类男女装及童装贴牌加工、原创设计师、设计机构等；</w:t>
      </w:r>
    </w:p>
    <w:p w14:paraId="10D911A5">
      <w:pPr>
        <w:spacing w:line="360" w:lineRule="auto"/>
        <w:ind w:firstLine="640" w:firstLineChars="200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（五）流行纱线展区：各种纯毛、混纺、羊绒、化纤类等毛纱原料等；</w:t>
      </w:r>
    </w:p>
    <w:p w14:paraId="59FF9785">
      <w:pPr>
        <w:spacing w:line="360" w:lineRule="auto"/>
        <w:ind w:firstLine="640" w:firstLineChars="200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（六）品牌内衣展区：文胸、功能内衣、保健内衣、保暖内衣、家居服、睡衣、运动型内衣、男士内衣、泳装、内裤、袜子等；</w:t>
      </w:r>
    </w:p>
    <w:p w14:paraId="1C34C0EF">
      <w:pPr>
        <w:spacing w:line="360" w:lineRule="auto"/>
        <w:ind w:firstLine="640" w:firstLineChars="200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（七）校服·园服展区：幼儿园园服、校园服饰、校园配饰、后勤物品、面辅料、其他等；</w:t>
      </w:r>
    </w:p>
    <w:p w14:paraId="5AC506BC">
      <w:pPr>
        <w:spacing w:line="360" w:lineRule="auto"/>
        <w:ind w:firstLine="640" w:firstLineChars="200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（八）服饰配件展区：潮流帽饰、围巾、手套、腰带、时尚配饰、首饰挂件等。</w:t>
      </w:r>
    </w:p>
    <w:p w14:paraId="4616E404">
      <w:pPr>
        <w:spacing w:line="360" w:lineRule="auto"/>
        <w:ind w:firstLine="640" w:firstLineChars="200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六、同期活动</w:t>
      </w:r>
    </w:p>
    <w:p w14:paraId="53203524">
      <w:pPr>
        <w:spacing w:line="360" w:lineRule="auto"/>
        <w:ind w:firstLine="640" w:firstLineChars="200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Times New Roman"/>
          <w:color w:val="000000" w:themeColor="text1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本届展会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同期将举办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服装定制流行趋势发布会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服装原创设计大赛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服装定制实战经验分享会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职业装·团服T台秀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职业装流行趋势发布会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新型面料采购对接大会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职业装年终品牌评选活动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服装供应链高峰论坛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品牌内衣峰会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等精彩纷呈的同期活动，打造服装纺织全产业链行业盛会。</w:t>
      </w:r>
    </w:p>
    <w:p w14:paraId="7B93047B">
      <w:pPr>
        <w:spacing w:line="360" w:lineRule="auto"/>
        <w:ind w:firstLine="640" w:firstLineChars="200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七、观众范围</w:t>
      </w:r>
    </w:p>
    <w:p w14:paraId="2CDEF6D5">
      <w:pPr>
        <w:spacing w:line="360" w:lineRule="auto"/>
        <w:ind w:firstLine="64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eastAsia="仿宋_GB2312" w:cs="Times New Roman"/>
          <w:color w:val="000000" w:themeColor="text1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本届展会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shd w:val="clear" w:color="auto" w:fill="FFFFFF"/>
          <w:lang w:bidi="ar"/>
          <w14:textFill>
            <w14:solidFill>
              <w14:schemeClr w14:val="tx1"/>
            </w14:solidFill>
          </w14:textFill>
        </w:rPr>
        <w:t>将邀请来自：服装品牌企业、设计师品牌/独立设计师、成衣制造商、电商/线上零售平台、买手/时尚买手店、代理商/经销商/进出口商/贸易商、协会/政府机构、百货/购物中心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；执行及管理人员、高级管理人员、其他管理人员；定制店、定制工厂、面辅料厂商、定制爱好者、定制配套服务</w:t>
      </w:r>
      <w:r>
        <w:rPr>
          <w:rFonts w:hint="eastAsia" w:ascii="仿宋_GB2312" w:eastAsia="仿宋_GB2312" w:hAnsiTheme="minorEastAsia" w:cstheme="minorEastAsia"/>
          <w:sz w:val="32"/>
          <w:szCs w:val="32"/>
        </w:rPr>
        <w:t>等</w:t>
      </w:r>
      <w:r>
        <w:rPr>
          <w:rFonts w:hint="eastAsia" w:ascii="仿宋_GB2312" w:eastAsia="仿宋_GB2312" w:hAnsiTheme="minorEastAsia" w:cstheme="minorEastAsia"/>
          <w:sz w:val="32"/>
          <w:szCs w:val="32"/>
          <w:lang w:val="en-US" w:eastAsia="zh-CN"/>
        </w:rPr>
        <w:t>专业观众</w:t>
      </w:r>
      <w:r>
        <w:rPr>
          <w:rFonts w:hint="eastAsia" w:ascii="仿宋_GB2312" w:eastAsia="仿宋_GB2312" w:hAnsiTheme="minorEastAsia" w:cstheme="minorEastAsia"/>
          <w:sz w:val="32"/>
          <w:szCs w:val="32"/>
        </w:rPr>
        <w:t>到场参观。</w:t>
      </w:r>
    </w:p>
    <w:p w14:paraId="702849C9">
      <w:pPr>
        <w:spacing w:line="360" w:lineRule="auto"/>
        <w:ind w:firstLine="640" w:firstLineChars="200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八、参展费用</w:t>
      </w:r>
    </w:p>
    <w:p w14:paraId="34BC6B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楷体" w:hAnsi="楷体" w:eastAsia="楷体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Times New Roman"/>
          <w:kern w:val="0"/>
          <w:sz w:val="32"/>
          <w:szCs w:val="32"/>
          <w:lang w:val="en-US" w:eastAsia="zh-CN" w:bidi="ar-SA"/>
        </w:rPr>
        <w:t>（一）标准展位：</w:t>
      </w:r>
    </w:p>
    <w:p w14:paraId="2620C78B"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 w:hAnsiTheme="minorEastAsia" w:cstheme="minor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  <w:lang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楷体" w:eastAsia="仿宋_GB2312" w:cs="Times New Roman"/>
          <w:b w:val="0"/>
          <w:bCs w:val="0"/>
          <w:kern w:val="0"/>
          <w:sz w:val="32"/>
          <w:szCs w:val="32"/>
        </w:rPr>
        <w:t>1</w:t>
      </w:r>
      <w:r>
        <w:rPr>
          <w:rFonts w:hint="eastAsia" w:ascii="仿宋_GB2312" w:hAnsi="楷体" w:eastAsia="仿宋_GB2312" w:cs="Times New Roman"/>
          <w:b w:val="0"/>
          <w:bCs w:val="0"/>
          <w:kern w:val="0"/>
          <w:sz w:val="32"/>
          <w:szCs w:val="32"/>
          <w:lang w:val="en-US" w:eastAsia="zh-CN"/>
        </w:rPr>
        <w:t>.</w:t>
      </w:r>
      <w:r>
        <w:rPr>
          <w:rFonts w:hint="eastAsia" w:ascii="仿宋_GB2312" w:hAnsi="楷体" w:eastAsia="仿宋_GB2312" w:cs="Times New Roman"/>
          <w:b w:val="0"/>
          <w:bCs w:val="0"/>
          <w:kern w:val="0"/>
          <w:sz w:val="32"/>
          <w:szCs w:val="32"/>
        </w:rPr>
        <w:t>A区双开口：</w:t>
      </w:r>
      <w:r>
        <w:rPr>
          <w:rFonts w:hint="eastAsia" w:ascii="仿宋_GB2312" w:eastAsia="仿宋_GB2312" w:hAnsiTheme="minorEastAsia" w:cstheme="minorEastAsia"/>
          <w:b w:val="0"/>
          <w:bCs w:val="0"/>
          <w:sz w:val="32"/>
          <w:szCs w:val="32"/>
        </w:rPr>
        <w:t>¥1</w:t>
      </w:r>
      <w:r>
        <w:rPr>
          <w:rFonts w:hint="eastAsia" w:ascii="仿宋_GB2312" w:eastAsia="仿宋_GB2312" w:hAnsiTheme="minorEastAsia" w:cstheme="minorEastAsia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hAnsiTheme="minorEastAsia" w:cstheme="minorEastAsia"/>
          <w:b w:val="0"/>
          <w:bCs w:val="0"/>
          <w:sz w:val="32"/>
          <w:szCs w:val="32"/>
        </w:rPr>
        <w:t>800</w:t>
      </w:r>
      <w:r>
        <w:rPr>
          <w:rFonts w:hint="eastAsia" w:ascii="仿宋_GB2312" w:eastAsia="仿宋_GB2312" w:hAnsiTheme="minorEastAsia" w:cstheme="minor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  <w:lang w:bidi="ar"/>
          <w14:textFill>
            <w14:solidFill>
              <w14:schemeClr w14:val="tx1"/>
            </w14:solidFill>
          </w14:textFill>
        </w:rPr>
        <w:t>/9</w:t>
      </w:r>
      <w:r>
        <w:rPr>
          <w:rFonts w:hint="eastAsia" w:ascii="Segoe UI Symbol" w:hAnsi="Segoe UI Symbol" w:cs="Segoe UI Symbol"/>
          <w:b w:val="0"/>
          <w:bCs w:val="0"/>
          <w:color w:val="000000" w:themeColor="text1"/>
          <w:kern w:val="0"/>
          <w:sz w:val="32"/>
          <w:szCs w:val="32"/>
          <w:shd w:val="clear" w:color="auto" w:fill="FFFFFF"/>
          <w:lang w:eastAsia="zh-CN" w:bidi="ar"/>
          <w14:textFill>
            <w14:solidFill>
              <w14:schemeClr w14:val="tx1"/>
            </w14:solidFill>
          </w14:textFill>
        </w:rPr>
        <w:t>㎡</w:t>
      </w:r>
      <w:r>
        <w:rPr>
          <w:rFonts w:hint="eastAsia" w:ascii="仿宋_GB2312" w:eastAsia="仿宋_GB2312" w:hAnsiTheme="minorEastAsia" w:cstheme="minorEastAsia"/>
          <w:b w:val="0"/>
          <w:bCs w:val="0"/>
          <w:sz w:val="32"/>
          <w:szCs w:val="32"/>
        </w:rPr>
        <w:t>、单开口：¥1</w:t>
      </w:r>
      <w:r>
        <w:rPr>
          <w:rFonts w:hint="eastAsia" w:ascii="仿宋_GB2312" w:eastAsia="仿宋_GB2312" w:hAnsiTheme="minorEastAsia" w:cstheme="minorEastAsia"/>
          <w:b w:val="0"/>
          <w:bCs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hAnsiTheme="minorEastAsia" w:cstheme="minorEastAsia"/>
          <w:b w:val="0"/>
          <w:bCs w:val="0"/>
          <w:sz w:val="32"/>
          <w:szCs w:val="32"/>
        </w:rPr>
        <w:t>800</w:t>
      </w:r>
      <w:r>
        <w:rPr>
          <w:rFonts w:hint="eastAsia" w:ascii="仿宋_GB2312" w:eastAsia="仿宋_GB2312" w:hAnsiTheme="minorEastAsia" w:cstheme="minor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  <w:lang w:bidi="ar"/>
          <w14:textFill>
            <w14:solidFill>
              <w14:schemeClr w14:val="tx1"/>
            </w14:solidFill>
          </w14:textFill>
        </w:rPr>
        <w:t>/9</w:t>
      </w:r>
      <w:r>
        <w:rPr>
          <w:rFonts w:hint="eastAsia" w:ascii="Segoe UI Symbol" w:hAnsi="Segoe UI Symbol" w:cs="Segoe UI Symbol"/>
          <w:b w:val="0"/>
          <w:bCs w:val="0"/>
          <w:color w:val="000000" w:themeColor="text1"/>
          <w:kern w:val="0"/>
          <w:sz w:val="32"/>
          <w:szCs w:val="32"/>
          <w:shd w:val="clear" w:color="auto" w:fill="FFFFFF"/>
          <w:lang w:eastAsia="zh-CN" w:bidi="ar"/>
          <w14:textFill>
            <w14:solidFill>
              <w14:schemeClr w14:val="tx1"/>
            </w14:solidFill>
          </w14:textFill>
        </w:rPr>
        <w:t>㎡</w:t>
      </w:r>
    </w:p>
    <w:p w14:paraId="3B6BD6FE"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 w:hAnsiTheme="minorEastAsia" w:cstheme="minorEastAsia"/>
          <w:color w:val="000000" w:themeColor="text1"/>
          <w:kern w:val="0"/>
          <w:sz w:val="32"/>
          <w:szCs w:val="32"/>
          <w:shd w:val="clear" w:color="auto" w:fill="FFFFFF"/>
          <w:lang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楷体" w:eastAsia="仿宋_GB2312" w:cs="Times New Roman"/>
          <w:b w:val="0"/>
          <w:bCs w:val="0"/>
          <w:kern w:val="0"/>
          <w:sz w:val="32"/>
          <w:szCs w:val="32"/>
        </w:rPr>
        <w:t>2</w:t>
      </w:r>
      <w:r>
        <w:rPr>
          <w:rFonts w:hint="eastAsia" w:ascii="仿宋_GB2312" w:hAnsi="楷体" w:eastAsia="仿宋_GB2312" w:cs="Times New Roman"/>
          <w:b w:val="0"/>
          <w:bCs w:val="0"/>
          <w:kern w:val="0"/>
          <w:sz w:val="32"/>
          <w:szCs w:val="32"/>
          <w:lang w:val="en-US" w:eastAsia="zh-CN"/>
        </w:rPr>
        <w:t>.</w:t>
      </w:r>
      <w:r>
        <w:rPr>
          <w:rFonts w:hint="eastAsia" w:ascii="仿宋_GB2312" w:hAnsi="楷体" w:eastAsia="仿宋_GB2312" w:cs="Times New Roman"/>
          <w:b w:val="0"/>
          <w:bCs w:val="0"/>
          <w:kern w:val="0"/>
          <w:sz w:val="32"/>
          <w:szCs w:val="32"/>
        </w:rPr>
        <w:t>B区双开口：</w:t>
      </w:r>
      <w:r>
        <w:rPr>
          <w:rFonts w:hint="eastAsia" w:ascii="仿宋_GB2312" w:eastAsia="仿宋_GB2312" w:hAnsiTheme="minorEastAsia" w:cstheme="minorEastAsia"/>
          <w:sz w:val="32"/>
          <w:szCs w:val="32"/>
        </w:rPr>
        <w:t>¥1</w:t>
      </w:r>
      <w:r>
        <w:rPr>
          <w:rFonts w:hint="eastAsia" w:ascii="仿宋_GB2312" w:eastAsia="仿宋_GB2312" w:hAnsiTheme="minorEastAsia" w:cstheme="minorEastAsia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hAnsiTheme="minorEastAsia" w:cstheme="minorEastAsia"/>
          <w:sz w:val="32"/>
          <w:szCs w:val="32"/>
        </w:rPr>
        <w:t>800</w:t>
      </w:r>
      <w:r>
        <w:rPr>
          <w:rFonts w:hint="eastAsia" w:ascii="仿宋_GB2312" w:eastAsia="仿宋_GB2312" w:hAnsiTheme="minorEastAsia" w:cstheme="minorEastAsia"/>
          <w:color w:val="000000" w:themeColor="text1"/>
          <w:kern w:val="0"/>
          <w:sz w:val="32"/>
          <w:szCs w:val="32"/>
          <w:shd w:val="clear" w:color="auto" w:fill="FFFFFF"/>
          <w:lang w:bidi="ar"/>
          <w14:textFill>
            <w14:solidFill>
              <w14:schemeClr w14:val="tx1"/>
            </w14:solidFill>
          </w14:textFill>
        </w:rPr>
        <w:t>/9</w:t>
      </w:r>
      <w:r>
        <w:rPr>
          <w:rFonts w:hint="eastAsia" w:ascii="Segoe UI Symbol" w:hAnsi="Segoe UI Symbol" w:cs="Segoe UI Symbol"/>
          <w:color w:val="000000" w:themeColor="text1"/>
          <w:kern w:val="0"/>
          <w:sz w:val="32"/>
          <w:szCs w:val="32"/>
          <w:shd w:val="clear" w:color="auto" w:fill="FFFFFF"/>
          <w:lang w:eastAsia="zh-CN" w:bidi="ar"/>
          <w14:textFill>
            <w14:solidFill>
              <w14:schemeClr w14:val="tx1"/>
            </w14:solidFill>
          </w14:textFill>
        </w:rPr>
        <w:t>㎡</w:t>
      </w:r>
      <w:r>
        <w:rPr>
          <w:rFonts w:hint="eastAsia" w:ascii="仿宋_GB2312" w:eastAsia="仿宋_GB2312" w:hAnsiTheme="minorEastAsia" w:cstheme="minorEastAsia"/>
          <w:sz w:val="32"/>
          <w:szCs w:val="32"/>
        </w:rPr>
        <w:t>、单开口：¥1</w:t>
      </w:r>
      <w:r>
        <w:rPr>
          <w:rFonts w:hint="eastAsia" w:ascii="仿宋_GB2312" w:eastAsia="仿宋_GB2312" w:hAnsiTheme="minorEastAsia" w:cstheme="minorEastAsia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 w:hAnsiTheme="minorEastAsia" w:cstheme="minorEastAsia"/>
          <w:sz w:val="32"/>
          <w:szCs w:val="32"/>
        </w:rPr>
        <w:t>800</w:t>
      </w:r>
      <w:r>
        <w:rPr>
          <w:rFonts w:hint="eastAsia" w:ascii="仿宋_GB2312" w:eastAsia="仿宋_GB2312" w:hAnsiTheme="minorEastAsia" w:cstheme="minorEastAsia"/>
          <w:color w:val="000000" w:themeColor="text1"/>
          <w:kern w:val="0"/>
          <w:sz w:val="32"/>
          <w:szCs w:val="32"/>
          <w:shd w:val="clear" w:color="auto" w:fill="FFFFFF"/>
          <w:lang w:bidi="ar"/>
          <w14:textFill>
            <w14:solidFill>
              <w14:schemeClr w14:val="tx1"/>
            </w14:solidFill>
          </w14:textFill>
        </w:rPr>
        <w:t>/9</w:t>
      </w:r>
      <w:r>
        <w:rPr>
          <w:rFonts w:hint="eastAsia" w:ascii="Segoe UI Symbol" w:hAnsi="Segoe UI Symbol" w:cs="Segoe UI Symbol"/>
          <w:color w:val="000000" w:themeColor="text1"/>
          <w:kern w:val="0"/>
          <w:sz w:val="32"/>
          <w:szCs w:val="32"/>
          <w:shd w:val="clear" w:color="auto" w:fill="FFFFFF"/>
          <w:lang w:eastAsia="zh-CN" w:bidi="ar"/>
          <w14:textFill>
            <w14:solidFill>
              <w14:schemeClr w14:val="tx1"/>
            </w14:solidFill>
          </w14:textFill>
        </w:rPr>
        <w:t>㎡</w:t>
      </w:r>
    </w:p>
    <w:p w14:paraId="341464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仿宋_GB2312" w:eastAsia="仿宋_GB2312" w:hAnsiTheme="minorEastAsia" w:cstheme="minorEastAsia"/>
          <w:color w:val="000000" w:themeColor="text1"/>
          <w:kern w:val="0"/>
          <w:sz w:val="32"/>
          <w:szCs w:val="32"/>
          <w:shd w:val="clear" w:color="auto" w:fill="FFFFFF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hAnsiTheme="minorEastAsia" w:cstheme="minorEastAsia"/>
          <w:color w:val="000000" w:themeColor="text1"/>
          <w:kern w:val="0"/>
          <w:sz w:val="32"/>
          <w:szCs w:val="32"/>
          <w:shd w:val="clear" w:color="auto" w:fill="FFFFFF"/>
          <w:lang w:bidi="ar"/>
          <w14:textFill>
            <w14:solidFill>
              <w14:schemeClr w14:val="tx1"/>
            </w14:solidFill>
          </w14:textFill>
        </w:rPr>
        <w:t>基本配置包含三面展板、楣板、射灯、插座、地毯、咨询桌、椅子。</w:t>
      </w:r>
    </w:p>
    <w:p w14:paraId="496274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" w:hAnsi="楷体" w:eastAsia="楷体" w:cs="Times New Roman"/>
          <w:kern w:val="0"/>
          <w:sz w:val="32"/>
          <w:szCs w:val="32"/>
          <w:lang w:val="en-US" w:eastAsia="zh-CN" w:bidi="ar-SA"/>
        </w:rPr>
        <w:t>（二）室内光地展位：</w:t>
      </w:r>
      <w:r>
        <w:rPr>
          <w:rFonts w:hint="eastAsia" w:ascii="仿宋_GB2312" w:eastAsia="仿宋_GB2312" w:hAnsiTheme="minorEastAsia" w:cstheme="minorEastAsia"/>
          <w:sz w:val="32"/>
          <w:szCs w:val="32"/>
        </w:rPr>
        <w:t>¥</w:t>
      </w: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80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:lang w:bidi="ar"/>
          <w14:textFill>
            <w14:solidFill>
              <w14:schemeClr w14:val="tx1"/>
            </w14:solidFill>
          </w14:textFill>
        </w:rPr>
        <w:t>/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:lang w:eastAsia="zh-CN" w:bidi="ar"/>
          <w14:textFill>
            <w14:solidFill>
              <w14:schemeClr w14:val="tx1"/>
            </w14:solidFill>
          </w14:textFill>
        </w:rPr>
        <w:t>㎡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:lang w:bidi="ar"/>
          <w14:textFill>
            <w14:solidFill>
              <w14:schemeClr w14:val="tx1"/>
            </w14:solidFill>
          </w14:textFill>
        </w:rPr>
        <w:t>（36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:lang w:eastAsia="zh-CN" w:bidi="ar"/>
          <w14:textFill>
            <w14:solidFill>
              <w14:schemeClr w14:val="tx1"/>
            </w14:solidFill>
          </w14:textFill>
        </w:rPr>
        <w:t>㎡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  <w:lang w:bidi="ar"/>
          <w14:textFill>
            <w14:solidFill>
              <w14:schemeClr w14:val="tx1"/>
            </w14:solidFill>
          </w14:textFill>
        </w:rPr>
        <w:t>起订）</w:t>
      </w:r>
    </w:p>
    <w:p w14:paraId="31F54411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16" w:firstLineChars="200"/>
        <w:textAlignment w:val="auto"/>
        <w:rPr>
          <w:rFonts w:ascii="仿宋_GB2312" w:eastAsia="仿宋_GB2312"/>
          <w:spacing w:val="-6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-6"/>
          <w:sz w:val="32"/>
          <w:szCs w:val="32"/>
          <w:lang w:eastAsia="zh-CN"/>
        </w:rPr>
        <w:t>光地展位不含任何配置，仅提供净场地，装修电费管理费另计。</w:t>
      </w:r>
    </w:p>
    <w:p w14:paraId="7CC4C8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楷体" w:hAnsi="楷体" w:eastAsia="楷体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Times New Roman"/>
          <w:kern w:val="0"/>
          <w:sz w:val="32"/>
          <w:szCs w:val="32"/>
          <w:lang w:val="en-US" w:eastAsia="zh-CN" w:bidi="ar-SA"/>
        </w:rPr>
        <w:t>（三）其他服务：</w:t>
      </w:r>
    </w:p>
    <w:p w14:paraId="5C78C4EC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300"/>
        <w:textAlignment w:val="auto"/>
        <w:rPr>
          <w:rFonts w:hint="eastAsia" w:ascii="仿宋_GB2312" w:eastAsia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楷体" w:eastAsia="仿宋_GB2312" w:cs="Times New Roman"/>
          <w:b w:val="0"/>
          <w:bCs w:val="0"/>
          <w:kern w:val="0"/>
          <w:sz w:val="32"/>
          <w:szCs w:val="32"/>
          <w:lang w:val="en-US" w:eastAsia="zh-CN" w:bidi="ar-SA"/>
        </w:rPr>
        <w:t>1.论坛演讲：</w:t>
      </w:r>
      <w:r>
        <w:rPr>
          <w:rFonts w:hint="eastAsia" w:ascii="仿宋_GB2312" w:eastAsia="仿宋_GB2312"/>
          <w:b w:val="0"/>
          <w:bCs w:val="0"/>
          <w:spacing w:val="-6"/>
          <w:sz w:val="32"/>
          <w:szCs w:val="32"/>
          <w:lang w:eastAsia="zh-CN"/>
        </w:rPr>
        <w:t>¥</w:t>
      </w:r>
      <w:r>
        <w:rPr>
          <w:rFonts w:hint="eastAsia" w:ascii="仿宋_GB2312" w:eastAsia="仿宋_GB2312"/>
          <w:b w:val="0"/>
          <w:bCs w:val="0"/>
          <w:sz w:val="32"/>
          <w:szCs w:val="32"/>
          <w:lang w:eastAsia="zh-CN"/>
        </w:rPr>
        <w:t>30000元/30分钟；</w:t>
      </w:r>
    </w:p>
    <w:p w14:paraId="0322A771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3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仿宋_GB2312" w:hAnsi="楷体" w:eastAsia="仿宋_GB2312" w:cs="Times New Roman"/>
          <w:b w:val="0"/>
          <w:bCs w:val="0"/>
          <w:kern w:val="0"/>
          <w:sz w:val="32"/>
          <w:szCs w:val="32"/>
          <w:lang w:val="en-US" w:eastAsia="zh-CN" w:bidi="ar-SA"/>
        </w:rPr>
        <w:t>2.T台秀、会刊及现场广告等：</w:t>
      </w:r>
      <w:r>
        <w:rPr>
          <w:rFonts w:hint="eastAsia" w:ascii="仿宋_GB2312" w:eastAsia="仿宋_GB2312"/>
          <w:b w:val="0"/>
          <w:bCs w:val="0"/>
          <w:sz w:val="32"/>
          <w:szCs w:val="32"/>
          <w:lang w:eastAsia="zh-CN"/>
        </w:rPr>
        <w:t>另行咨询。</w:t>
      </w:r>
    </w:p>
    <w:p w14:paraId="65044C05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F674B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DF64B6">
                          <w:pPr>
                            <w:pStyle w:val="2"/>
                            <w:rPr>
                              <w:rFonts w:hint="eastAsia" w:eastAsia="宋体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lang w:val="en-US" w:eastAsia="zh-CN"/>
                            </w:rPr>
                            <w:t xml:space="preserve">-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 xml:space="preserve">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DF64B6">
                    <w:pPr>
                      <w:pStyle w:val="2"/>
                      <w:rPr>
                        <w:rFonts w:hint="eastAsia" w:eastAsia="宋体"/>
                        <w:lang w:val="en-US" w:eastAsia="zh-CN"/>
                      </w:rPr>
                    </w:pPr>
                    <w:r>
                      <w:rPr>
                        <w:rFonts w:hint="eastAsia"/>
                        <w:lang w:val="en-US" w:eastAsia="zh-CN"/>
                      </w:rPr>
                      <w:t xml:space="preserve">-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rFonts w:hint="eastAsia"/>
                        <w:lang w:val="en-US" w:eastAsia="zh-CN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C9B6F2"/>
    <w:multiLevelType w:val="singleLevel"/>
    <w:tmpl w:val="0EC9B6F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B3555D"/>
    <w:rsid w:val="08E3415F"/>
    <w:rsid w:val="0A904964"/>
    <w:rsid w:val="1FB3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服贸热点 正文"/>
    <w:basedOn w:val="1"/>
    <w:uiPriority w:val="0"/>
    <w:pPr>
      <w:ind w:firstLine="640" w:firstLineChars="200"/>
    </w:pPr>
    <w:rPr>
      <w:rFonts w:hint="eastAsia" w:ascii="仿宋_GB2312" w:hAnsi="仿宋_GB2312" w:eastAsia="仿宋_GB2312" w:cs="仿宋_GB2312"/>
      <w:sz w:val="32"/>
      <w:szCs w:val="32"/>
    </w:rPr>
  </w:style>
  <w:style w:type="paragraph" w:customStyle="1" w:styleId="7">
    <w:name w:val="Table Paragraph"/>
    <w:basedOn w:val="1"/>
    <w:qFormat/>
    <w:uiPriority w:val="1"/>
    <w:pPr>
      <w:ind w:left="108"/>
    </w:pPr>
    <w:rPr>
      <w:rFonts w:ascii="宋体" w:hAnsi="宋体" w:cs="宋体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2025-02-13T08:09:00Z</dcterms:created>
  <dc:creator>李苑</dc:creator>
  <cp:lastModifiedBy>李苑</cp:lastModifiedBy>
  <dcterms:modified xsi:type="dcterms:W3CDTF">2025-02-13T08:11:33Z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26397AD5B21143889BC11935A0AB3874_13</vt:lpwstr>
  </property>
  <property fmtid="{D5CDD505-2E9C-101B-9397-08002B2CF9AE}" pid="4" name="KSOTemplateDocerSaveRecord">
    <vt:lpwstr>eyJoZGlkIjoiZDhmZGE0ZTdhZTE5YjhjMTA2OTUwZTI0OWYzYjI5ZWYiLCJ1c2VySWQiOiIyODAzNzM1MjcifQ==</vt:lpwstr>
  </property>
</Properties>
</file>